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113" w:right="0" w:firstLine="0"/>
        <w:jc w:val="left"/>
        <w:rPr>
          <w:b/>
          <w:sz w:val="28"/>
        </w:rPr>
      </w:pPr>
      <w:r>
        <w:rPr/>
        <w:pict>
          <v:shape style="position:absolute;margin-left:504.100037pt;margin-top:560.139954pt;width:47.35pt;height:17.9pt;mso-position-horizontal-relative:page;mso-position-vertical-relative:page;z-index:-17235968" id="docshape1" coordorigin="10082,11203" coordsize="947,358" path="m11028,11203l10128,11203,10128,11383,10082,11383,10082,11560,10985,11560,10985,11383,11028,11383,11028,11203xe" filled="true" fillcolor="#00ffff" stroked="false">
            <v:path arrowok="t"/>
            <v:fill type="solid"/>
            <w10:wrap type="none"/>
          </v:shape>
        </w:pict>
      </w:r>
      <w:r>
        <w:rPr>
          <w:b/>
          <w:spacing w:val="-38"/>
          <w:sz w:val="28"/>
        </w:rPr>
        <w:t>靜宜大學培育中等學校「高級中等學校商業與管理群－商管專長」師資職前教育專門課程預審表</w:t>
      </w:r>
    </w:p>
    <w:p>
      <w:pPr>
        <w:pStyle w:val="BodyText"/>
        <w:spacing w:before="9"/>
        <w:rPr>
          <w:b/>
        </w:rPr>
      </w:pPr>
    </w:p>
    <w:p>
      <w:pPr>
        <w:tabs>
          <w:tab w:pos="2684" w:val="left" w:leader="none"/>
          <w:tab w:pos="3644" w:val="left" w:leader="none"/>
          <w:tab w:pos="4604" w:val="left" w:leader="none"/>
        </w:tabs>
        <w:spacing w:before="0"/>
        <w:ind w:left="284" w:right="0" w:firstLine="0"/>
        <w:jc w:val="left"/>
        <w:rPr>
          <w:sz w:val="24"/>
        </w:rPr>
      </w:pPr>
      <w:r>
        <w:rPr>
          <w:sz w:val="24"/>
        </w:rPr>
        <w:t>申請審查日期</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p>
      <w:pPr>
        <w:pStyle w:val="BodyText"/>
        <w:spacing w:before="6"/>
        <w:rPr>
          <w:sz w:val="13"/>
        </w:rPr>
      </w:pPr>
    </w:p>
    <w:p>
      <w:pPr>
        <w:tabs>
          <w:tab w:pos="3459" w:val="left" w:leader="none"/>
          <w:tab w:pos="6820" w:val="left" w:leader="none"/>
          <w:tab w:pos="10548" w:val="left" w:leader="none"/>
        </w:tabs>
        <w:spacing w:before="74"/>
        <w:ind w:left="284" w:right="0" w:firstLine="0"/>
        <w:jc w:val="left"/>
        <w:rPr>
          <w:rFonts w:ascii="Times New Roman" w:eastAsia="Times New Roman"/>
          <w:sz w:val="24"/>
        </w:rPr>
      </w:pPr>
      <w:r>
        <w:rPr>
          <w:sz w:val="24"/>
        </w:rPr>
        <w:t>申請人姓名</w:t>
      </w:r>
      <w:r>
        <w:rPr>
          <w:spacing w:val="-10"/>
          <w:sz w:val="24"/>
        </w:rPr>
        <w:t>：</w:t>
      </w:r>
      <w:r>
        <w:rPr>
          <w:rFonts w:ascii="Times New Roman" w:eastAsia="Times New Roman"/>
          <w:sz w:val="24"/>
          <w:u w:val="single"/>
        </w:rPr>
        <w:tab/>
      </w:r>
      <w:r>
        <w:rPr>
          <w:rFonts w:ascii="Times New Roman" w:eastAsia="Times New Roman"/>
          <w:spacing w:val="125"/>
          <w:sz w:val="24"/>
        </w:rPr>
        <w:t> </w:t>
      </w:r>
      <w:r>
        <w:rPr>
          <w:sz w:val="24"/>
        </w:rPr>
        <w:t>行動電話：</w:t>
      </w:r>
      <w:r>
        <w:rPr>
          <w:rFonts w:ascii="Times New Roman" w:eastAsia="Times New Roman"/>
          <w:sz w:val="24"/>
          <w:u w:val="single"/>
        </w:rPr>
        <w:tab/>
      </w:r>
      <w:r>
        <w:rPr>
          <w:rFonts w:ascii="Times New Roman" w:eastAsia="Times New Roman"/>
          <w:sz w:val="24"/>
        </w:rPr>
        <w:t> </w:t>
      </w:r>
      <w:r>
        <w:rPr>
          <w:sz w:val="24"/>
        </w:rPr>
        <w:t>錄取教育學程學年度：</w:t>
      </w:r>
      <w:r>
        <w:rPr>
          <w:rFonts w:ascii="Times New Roman" w:eastAsia="Times New Roman"/>
          <w:sz w:val="24"/>
          <w:u w:val="single"/>
        </w:rPr>
        <w:tab/>
      </w:r>
    </w:p>
    <w:p>
      <w:pPr>
        <w:pStyle w:val="BodyText"/>
        <w:rPr>
          <w:rFonts w:ascii="Times New Roman"/>
          <w:sz w:val="13"/>
        </w:rPr>
      </w:pPr>
    </w:p>
    <w:p>
      <w:pPr>
        <w:tabs>
          <w:tab w:pos="3579" w:val="left" w:leader="none"/>
          <w:tab w:pos="6820" w:val="left" w:leader="none"/>
          <w:tab w:pos="10577" w:val="left" w:leader="none"/>
        </w:tabs>
        <w:spacing w:before="74"/>
        <w:ind w:left="284" w:right="0" w:firstLine="0"/>
        <w:jc w:val="left"/>
        <w:rPr>
          <w:rFonts w:ascii="Times New Roman" w:eastAsia="Times New Roman"/>
          <w:sz w:val="24"/>
        </w:rPr>
      </w:pPr>
      <w:r>
        <w:rPr>
          <w:sz w:val="24"/>
        </w:rPr>
        <w:t>系所級別</w:t>
      </w:r>
      <w:r>
        <w:rPr>
          <w:spacing w:val="-10"/>
          <w:sz w:val="24"/>
        </w:rPr>
        <w:t>：</w:t>
      </w:r>
      <w:r>
        <w:rPr>
          <w:rFonts w:ascii="Times New Roman" w:eastAsia="Times New Roman"/>
          <w:sz w:val="24"/>
          <w:u w:val="single"/>
        </w:rPr>
        <w:tab/>
      </w:r>
      <w:r>
        <w:rPr>
          <w:rFonts w:ascii="Times New Roman" w:eastAsia="Times New Roman"/>
          <w:sz w:val="24"/>
        </w:rPr>
        <w:t> </w:t>
      </w:r>
      <w:r>
        <w:rPr>
          <w:sz w:val="24"/>
        </w:rPr>
        <w:t>學號：</w:t>
      </w:r>
      <w:r>
        <w:rPr>
          <w:rFonts w:ascii="Times New Roman" w:eastAsia="Times New Roman"/>
          <w:sz w:val="24"/>
          <w:u w:val="single"/>
        </w:rPr>
        <w:tab/>
      </w:r>
      <w:r>
        <w:rPr>
          <w:rFonts w:ascii="Times New Roman" w:eastAsia="Times New Roman"/>
          <w:sz w:val="24"/>
        </w:rPr>
        <w:t> </w:t>
      </w:r>
      <w:r>
        <w:rPr>
          <w:rFonts w:ascii="Times New Roman" w:eastAsia="Times New Roman"/>
          <w:spacing w:val="-2"/>
          <w:sz w:val="24"/>
        </w:rPr>
        <w:t>E-</w:t>
      </w:r>
      <w:r>
        <w:rPr>
          <w:rFonts w:ascii="Times New Roman" w:eastAsia="Times New Roman"/>
          <w:sz w:val="24"/>
        </w:rPr>
        <w:t>MAIL</w:t>
      </w:r>
      <w:r>
        <w:rPr>
          <w:sz w:val="24"/>
        </w:rPr>
        <w:t>：</w:t>
      </w:r>
      <w:r>
        <w:rPr>
          <w:rFonts w:ascii="Times New Roman" w:eastAsia="Times New Roman"/>
          <w:sz w:val="24"/>
          <w:u w:val="single"/>
        </w:rPr>
        <w:tab/>
      </w:r>
    </w:p>
    <w:p>
      <w:pPr>
        <w:pStyle w:val="BodyText"/>
        <w:spacing w:before="11"/>
        <w:rPr>
          <w:rFonts w:ascii="Times New Roman"/>
          <w:sz w:val="10"/>
        </w:rPr>
      </w:pPr>
    </w:p>
    <w:p>
      <w:pPr>
        <w:spacing w:before="52"/>
        <w:ind w:left="284" w:right="0" w:firstLine="0"/>
        <w:jc w:val="left"/>
        <w:rPr>
          <w:sz w:val="24"/>
        </w:rPr>
      </w:pPr>
      <w:r>
        <w:rPr>
          <w:spacing w:val="-24"/>
          <w:sz w:val="24"/>
        </w:rPr>
        <w:t>申請事由：</w:t>
      </w:r>
      <w:r>
        <w:rPr>
          <w:sz w:val="24"/>
        </w:rPr>
        <w:t>（以下請擇一勾選</w:t>
      </w:r>
      <w:r>
        <w:rPr>
          <w:spacing w:val="-10"/>
          <w:sz w:val="24"/>
        </w:rPr>
        <w:t>）</w:t>
      </w:r>
    </w:p>
    <w:p>
      <w:pPr>
        <w:pStyle w:val="BodyText"/>
        <w:rPr>
          <w:sz w:val="16"/>
        </w:rPr>
      </w:pPr>
    </w:p>
    <w:p>
      <w:pPr>
        <w:tabs>
          <w:tab w:pos="3644" w:val="left" w:leader="none"/>
          <w:tab w:pos="6045" w:val="left" w:leader="none"/>
        </w:tabs>
        <w:spacing w:line="398" w:lineRule="auto" w:before="0"/>
        <w:ind w:left="284" w:right="2591" w:firstLine="0"/>
        <w:jc w:val="left"/>
        <w:rPr>
          <w:sz w:val="24"/>
        </w:rPr>
      </w:pPr>
      <w:r>
        <w:rPr>
          <w:sz w:val="24"/>
        </w:rPr>
        <w:t>□ 師資生辦理學分採認審查</w:t>
        <w:tab/>
        <w:t>□ 辦理加科</w:t>
        <w:tab/>
        <w:t>□</w:t>
      </w:r>
      <w:r>
        <w:rPr>
          <w:spacing w:val="-30"/>
          <w:sz w:val="24"/>
        </w:rPr>
        <w:t> </w:t>
      </w:r>
      <w:r>
        <w:rPr>
          <w:sz w:val="24"/>
        </w:rPr>
        <w:t>辦理加另一類</w:t>
      </w:r>
      <w:r>
        <w:rPr>
          <w:sz w:val="24"/>
        </w:rPr>
        <w:t>科</w:t>
      </w:r>
      <w:r>
        <w:rPr>
          <w:spacing w:val="-2"/>
          <w:sz w:val="24"/>
        </w:rPr>
        <w:t>檢</w:t>
      </w:r>
      <w:r>
        <w:rPr>
          <w:spacing w:val="-2"/>
          <w:sz w:val="24"/>
        </w:rPr>
        <w:t>附</w:t>
      </w:r>
      <w:r>
        <w:rPr>
          <w:spacing w:val="-2"/>
          <w:sz w:val="24"/>
        </w:rPr>
        <w:t>審</w:t>
      </w:r>
      <w:r>
        <w:rPr>
          <w:spacing w:val="-2"/>
          <w:sz w:val="24"/>
        </w:rPr>
        <w:t>查</w:t>
      </w:r>
      <w:r>
        <w:rPr>
          <w:spacing w:val="-2"/>
          <w:sz w:val="24"/>
        </w:rPr>
        <w:t>文</w:t>
      </w:r>
      <w:r>
        <w:rPr>
          <w:spacing w:val="-2"/>
          <w:sz w:val="24"/>
        </w:rPr>
        <w:t>件</w:t>
      </w:r>
      <w:r>
        <w:rPr>
          <w:spacing w:val="-120"/>
          <w:sz w:val="24"/>
        </w:rPr>
        <w:t>：</w:t>
      </w:r>
      <w:r>
        <w:rPr>
          <w:color w:val="FF0000"/>
          <w:sz w:val="24"/>
        </w:rPr>
        <w:t>（</w:t>
      </w:r>
      <w:r>
        <w:rPr>
          <w:color w:val="FF0000"/>
          <w:spacing w:val="-2"/>
          <w:sz w:val="24"/>
        </w:rPr>
        <w:t>佐</w:t>
      </w:r>
      <w:r>
        <w:rPr>
          <w:color w:val="FF0000"/>
          <w:spacing w:val="-2"/>
          <w:sz w:val="24"/>
        </w:rPr>
        <w:t>證</w:t>
      </w:r>
      <w:r>
        <w:rPr>
          <w:color w:val="FF0000"/>
          <w:spacing w:val="-2"/>
          <w:sz w:val="24"/>
        </w:rPr>
        <w:t>文</w:t>
      </w:r>
      <w:r>
        <w:rPr>
          <w:color w:val="FF0000"/>
          <w:spacing w:val="-2"/>
          <w:sz w:val="24"/>
        </w:rPr>
        <w:t>件</w:t>
      </w:r>
      <w:r>
        <w:rPr>
          <w:color w:val="FF0000"/>
          <w:spacing w:val="-2"/>
          <w:sz w:val="24"/>
        </w:rPr>
        <w:t>不</w:t>
      </w:r>
      <w:r>
        <w:rPr>
          <w:color w:val="FF0000"/>
          <w:spacing w:val="-2"/>
          <w:sz w:val="24"/>
        </w:rPr>
        <w:t>齊</w:t>
      </w:r>
      <w:r>
        <w:rPr>
          <w:color w:val="FF0000"/>
          <w:spacing w:val="-2"/>
          <w:sz w:val="24"/>
        </w:rPr>
        <w:t>全</w:t>
      </w:r>
      <w:r>
        <w:rPr>
          <w:color w:val="FF0000"/>
          <w:spacing w:val="-2"/>
          <w:sz w:val="24"/>
        </w:rPr>
        <w:t>者</w:t>
      </w:r>
      <w:r>
        <w:rPr>
          <w:color w:val="FF0000"/>
          <w:spacing w:val="-2"/>
          <w:sz w:val="24"/>
        </w:rPr>
        <w:t>，</w:t>
      </w:r>
      <w:r>
        <w:rPr>
          <w:color w:val="FF0000"/>
          <w:spacing w:val="-2"/>
          <w:sz w:val="24"/>
        </w:rPr>
        <w:t>恕</w:t>
      </w:r>
      <w:r>
        <w:rPr>
          <w:color w:val="FF0000"/>
          <w:spacing w:val="-2"/>
          <w:sz w:val="24"/>
        </w:rPr>
        <w:t>無</w:t>
      </w:r>
      <w:r>
        <w:rPr>
          <w:color w:val="FF0000"/>
          <w:spacing w:val="-2"/>
          <w:sz w:val="24"/>
        </w:rPr>
        <w:t>法</w:t>
      </w:r>
      <w:r>
        <w:rPr>
          <w:color w:val="FF0000"/>
          <w:spacing w:val="-2"/>
          <w:sz w:val="24"/>
        </w:rPr>
        <w:t>受</w:t>
      </w:r>
      <w:r>
        <w:rPr>
          <w:color w:val="FF0000"/>
          <w:spacing w:val="-2"/>
          <w:sz w:val="24"/>
        </w:rPr>
        <w:t>理</w:t>
      </w:r>
      <w:r>
        <w:rPr>
          <w:color w:val="FF0000"/>
          <w:spacing w:val="-2"/>
          <w:sz w:val="24"/>
        </w:rPr>
        <w:t>審</w:t>
      </w:r>
      <w:r>
        <w:rPr>
          <w:color w:val="FF0000"/>
          <w:spacing w:val="-2"/>
          <w:sz w:val="24"/>
        </w:rPr>
        <w:t>查</w:t>
      </w:r>
      <w:r>
        <w:rPr>
          <w:color w:val="FF0000"/>
          <w:spacing w:val="-2"/>
          <w:sz w:val="24"/>
        </w:rPr>
        <w:t>）</w:t>
      </w:r>
    </w:p>
    <w:p>
      <w:pPr>
        <w:tabs>
          <w:tab w:pos="3644" w:val="left" w:leader="none"/>
        </w:tabs>
        <w:spacing w:before="2"/>
        <w:ind w:left="284" w:right="0" w:firstLine="0"/>
        <w:jc w:val="left"/>
        <w:rPr>
          <w:sz w:val="24"/>
        </w:rPr>
      </w:pPr>
      <w:r>
        <w:rPr>
          <w:sz w:val="24"/>
        </w:rPr>
        <w:t>□ 歷年成績單正本</w:t>
      </w:r>
      <w:r>
        <w:rPr>
          <w:spacing w:val="-61"/>
          <w:sz w:val="24"/>
        </w:rPr>
        <w:t> </w:t>
      </w:r>
      <w:r>
        <w:rPr>
          <w:rFonts w:ascii="Times New Roman" w:hAnsi="Times New Roman" w:eastAsia="Times New Roman"/>
          <w:sz w:val="24"/>
        </w:rPr>
        <w:t>1 </w:t>
      </w:r>
      <w:r>
        <w:rPr>
          <w:spacing w:val="-10"/>
          <w:sz w:val="24"/>
        </w:rPr>
        <w:t>份</w:t>
      </w:r>
      <w:r>
        <w:rPr>
          <w:sz w:val="24"/>
        </w:rPr>
        <w:tab/>
        <w:t>□ 他校課程之課</w:t>
      </w:r>
      <w:r>
        <w:rPr>
          <w:spacing w:val="-10"/>
          <w:sz w:val="24"/>
        </w:rPr>
        <w:t>綱</w:t>
      </w:r>
    </w:p>
    <w:p>
      <w:pPr>
        <w:pStyle w:val="BodyText"/>
        <w:spacing w:before="3"/>
      </w:pPr>
    </w:p>
    <w:p>
      <w:pPr>
        <w:tabs>
          <w:tab w:pos="5260" w:val="left" w:leader="none"/>
          <w:tab w:pos="8685" w:val="left" w:leader="none"/>
        </w:tabs>
        <w:spacing w:before="74"/>
        <w:ind w:left="284" w:right="0" w:firstLine="0"/>
        <w:jc w:val="left"/>
        <w:rPr>
          <w:sz w:val="24"/>
        </w:rPr>
      </w:pPr>
      <w:r>
        <w:rPr>
          <w:color w:val="000000"/>
          <w:sz w:val="24"/>
          <w:shd w:fill="00FFFF" w:color="auto" w:val="clear"/>
        </w:rPr>
        <w:t>審查學系承辦秘書</w:t>
      </w:r>
      <w:r>
        <w:rPr>
          <w:color w:val="000000"/>
          <w:spacing w:val="-10"/>
          <w:sz w:val="24"/>
        </w:rPr>
        <w:t>：</w:t>
      </w:r>
      <w:r>
        <w:rPr>
          <w:rFonts w:ascii="Times New Roman" w:eastAsia="Times New Roman"/>
          <w:color w:val="000000"/>
          <w:sz w:val="24"/>
          <w:u w:val="single"/>
        </w:rPr>
        <w:tab/>
      </w:r>
      <w:r>
        <w:rPr>
          <w:rFonts w:ascii="Times New Roman" w:eastAsia="Times New Roman"/>
          <w:color w:val="000000"/>
          <w:spacing w:val="125"/>
          <w:sz w:val="24"/>
        </w:rPr>
        <w:t> </w:t>
      </w:r>
      <w:r>
        <w:rPr>
          <w:color w:val="000000"/>
          <w:sz w:val="24"/>
          <w:shd w:fill="00FFFF" w:color="auto" w:val="clear"/>
        </w:rPr>
        <w:t>採認學分合計</w:t>
      </w:r>
      <w:r>
        <w:rPr>
          <w:color w:val="000000"/>
          <w:sz w:val="24"/>
        </w:rPr>
        <w:t>：</w:t>
      </w:r>
      <w:r>
        <w:rPr>
          <w:rFonts w:ascii="Times New Roman" w:eastAsia="Times New Roman"/>
          <w:color w:val="000000"/>
          <w:sz w:val="24"/>
          <w:u w:val="single"/>
        </w:rPr>
        <w:tab/>
      </w:r>
      <w:r>
        <w:rPr>
          <w:color w:val="000000"/>
          <w:sz w:val="24"/>
        </w:rPr>
        <w:t>學</w:t>
      </w:r>
      <w:r>
        <w:rPr>
          <w:color w:val="000000"/>
          <w:spacing w:val="-10"/>
          <w:sz w:val="24"/>
        </w:rPr>
        <w:t>分</w:t>
      </w:r>
    </w:p>
    <w:p>
      <w:pPr>
        <w:pStyle w:val="BodyText"/>
        <w:spacing w:before="5"/>
        <w:rPr>
          <w:sz w:val="17"/>
        </w:rPr>
      </w:pPr>
    </w:p>
    <w:p>
      <w:pPr>
        <w:tabs>
          <w:tab w:pos="10248" w:val="left" w:leader="none"/>
        </w:tabs>
        <w:spacing w:before="74"/>
        <w:ind w:left="276" w:right="0" w:firstLine="0"/>
        <w:jc w:val="left"/>
        <w:rPr>
          <w:rFonts w:ascii="Times New Roman" w:eastAsia="Times New Roman"/>
          <w:sz w:val="24"/>
        </w:rPr>
      </w:pPr>
      <w:r>
        <w:rPr>
          <w:sz w:val="24"/>
        </w:rPr>
        <w:t>審認說明</w:t>
      </w:r>
      <w:r>
        <w:rPr>
          <w:spacing w:val="-10"/>
          <w:sz w:val="24"/>
        </w:rPr>
        <w:t>：</w:t>
      </w:r>
      <w:r>
        <w:rPr>
          <w:rFonts w:ascii="Times New Roman" w:eastAsia="Times New Roman"/>
          <w:sz w:val="24"/>
          <w:u w:val="single"/>
        </w:rPr>
        <w:tab/>
      </w:r>
    </w:p>
    <w:p>
      <w:pPr>
        <w:pStyle w:val="BodyText"/>
        <w:spacing w:before="7"/>
        <w:rPr>
          <w:rFonts w:ascii="Times New Roman"/>
          <w:sz w:val="16"/>
        </w:rPr>
      </w:pPr>
    </w:p>
    <w:p>
      <w:pPr>
        <w:spacing w:before="74"/>
        <w:ind w:left="240" w:right="0" w:firstLine="0"/>
        <w:jc w:val="left"/>
        <w:rPr>
          <w:sz w:val="24"/>
        </w:rPr>
      </w:pPr>
      <w:r>
        <w:rPr>
          <w:spacing w:val="-6"/>
          <w:sz w:val="24"/>
        </w:rPr>
        <w:t>同意備查文號：教育部 </w:t>
      </w:r>
      <w:r>
        <w:rPr>
          <w:rFonts w:ascii="Times New Roman" w:eastAsia="Times New Roman"/>
          <w:sz w:val="24"/>
        </w:rPr>
        <w:t>108 </w:t>
      </w:r>
      <w:r>
        <w:rPr>
          <w:spacing w:val="-30"/>
          <w:sz w:val="24"/>
        </w:rPr>
        <w:t>年 </w:t>
      </w:r>
      <w:r>
        <w:rPr>
          <w:rFonts w:ascii="Times New Roman" w:eastAsia="Times New Roman"/>
          <w:sz w:val="24"/>
        </w:rPr>
        <w:t>8 </w:t>
      </w:r>
      <w:r>
        <w:rPr>
          <w:spacing w:val="-30"/>
          <w:sz w:val="24"/>
        </w:rPr>
        <w:t>月 </w:t>
      </w:r>
      <w:r>
        <w:rPr>
          <w:rFonts w:ascii="Times New Roman" w:eastAsia="Times New Roman"/>
          <w:sz w:val="24"/>
        </w:rPr>
        <w:t>16 </w:t>
      </w:r>
      <w:r>
        <w:rPr>
          <w:sz w:val="24"/>
        </w:rPr>
        <w:t>日臺教師</w:t>
      </w:r>
      <w:r>
        <w:rPr>
          <w:rFonts w:ascii="Times New Roman" w:eastAsia="Times New Roman"/>
          <w:sz w:val="24"/>
        </w:rPr>
        <w:t>(</w:t>
      </w:r>
      <w:r>
        <w:rPr>
          <w:sz w:val="24"/>
        </w:rPr>
        <w:t>二</w:t>
      </w:r>
      <w:r>
        <w:rPr>
          <w:rFonts w:ascii="Times New Roman" w:eastAsia="Times New Roman"/>
          <w:sz w:val="24"/>
        </w:rPr>
        <w:t>)</w:t>
      </w:r>
      <w:r>
        <w:rPr>
          <w:spacing w:val="-20"/>
          <w:sz w:val="24"/>
        </w:rPr>
        <w:t>字第 </w:t>
      </w:r>
      <w:r>
        <w:rPr>
          <w:rFonts w:ascii="Times New Roman" w:eastAsia="Times New Roman"/>
          <w:sz w:val="24"/>
        </w:rPr>
        <w:t>1080117264 </w:t>
      </w:r>
      <w:r>
        <w:rPr>
          <w:spacing w:val="-5"/>
          <w:sz w:val="24"/>
        </w:rPr>
        <w:t>號函</w:t>
      </w:r>
    </w:p>
    <w:p>
      <w:pPr>
        <w:pStyle w:val="BodyText"/>
        <w:spacing w:before="6"/>
        <w:rPr>
          <w:sz w:val="19"/>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49"/>
        <w:gridCol w:w="852"/>
        <w:gridCol w:w="1848"/>
        <w:gridCol w:w="278"/>
        <w:gridCol w:w="708"/>
        <w:gridCol w:w="850"/>
        <w:gridCol w:w="769"/>
        <w:gridCol w:w="1359"/>
        <w:gridCol w:w="1278"/>
      </w:tblGrid>
      <w:tr>
        <w:trPr>
          <w:trHeight w:val="559" w:hRule="atLeast"/>
        </w:trPr>
        <w:tc>
          <w:tcPr>
            <w:tcW w:w="3261" w:type="dxa"/>
            <w:gridSpan w:val="3"/>
          </w:tcPr>
          <w:p>
            <w:pPr>
              <w:pStyle w:val="TableParagraph"/>
              <w:spacing w:before="98"/>
              <w:ind w:left="38"/>
              <w:rPr>
                <w:sz w:val="24"/>
              </w:rPr>
            </w:pPr>
            <w:r>
              <w:rPr>
                <w:spacing w:val="-2"/>
                <w:sz w:val="24"/>
              </w:rPr>
              <w:t>領域專長名稱</w:t>
            </w:r>
          </w:p>
        </w:tc>
        <w:tc>
          <w:tcPr>
            <w:tcW w:w="7090" w:type="dxa"/>
            <w:gridSpan w:val="7"/>
          </w:tcPr>
          <w:p>
            <w:pPr>
              <w:pStyle w:val="TableParagraph"/>
              <w:spacing w:before="98"/>
              <w:ind w:left="37"/>
              <w:rPr>
                <w:sz w:val="24"/>
              </w:rPr>
            </w:pPr>
            <w:r>
              <w:rPr>
                <w:spacing w:val="-1"/>
                <w:sz w:val="24"/>
              </w:rPr>
              <w:t>高級中等學校商業與管理群－商管專長</w:t>
            </w:r>
          </w:p>
        </w:tc>
      </w:tr>
      <w:tr>
        <w:trPr>
          <w:trHeight w:val="566" w:hRule="atLeast"/>
        </w:trPr>
        <w:tc>
          <w:tcPr>
            <w:tcW w:w="3261" w:type="dxa"/>
            <w:gridSpan w:val="3"/>
          </w:tcPr>
          <w:p>
            <w:pPr>
              <w:pStyle w:val="TableParagraph"/>
              <w:spacing w:before="108"/>
              <w:ind w:left="38"/>
              <w:rPr>
                <w:sz w:val="24"/>
              </w:rPr>
            </w:pPr>
            <w:r>
              <w:rPr>
                <w:spacing w:val="-1"/>
                <w:sz w:val="24"/>
              </w:rPr>
              <w:t>要求學生最低應修畢總學分數</w:t>
            </w:r>
          </w:p>
        </w:tc>
        <w:tc>
          <w:tcPr>
            <w:tcW w:w="1848" w:type="dxa"/>
          </w:tcPr>
          <w:p>
            <w:pPr>
              <w:pStyle w:val="TableParagraph"/>
              <w:spacing w:before="123"/>
              <w:ind w:left="793" w:right="787"/>
              <w:jc w:val="center"/>
              <w:rPr>
                <w:rFonts w:ascii="Times New Roman"/>
                <w:sz w:val="24"/>
              </w:rPr>
            </w:pPr>
            <w:r>
              <w:rPr>
                <w:rFonts w:ascii="Times New Roman"/>
                <w:spacing w:val="-5"/>
                <w:w w:val="95"/>
                <w:sz w:val="24"/>
              </w:rPr>
              <w:t>38</w:t>
            </w:r>
          </w:p>
        </w:tc>
        <w:tc>
          <w:tcPr>
            <w:tcW w:w="2605" w:type="dxa"/>
            <w:gridSpan w:val="4"/>
          </w:tcPr>
          <w:p>
            <w:pPr>
              <w:pStyle w:val="TableParagraph"/>
              <w:spacing w:before="108"/>
              <w:ind w:left="37"/>
              <w:rPr>
                <w:sz w:val="24"/>
              </w:rPr>
            </w:pPr>
            <w:r>
              <w:rPr>
                <w:spacing w:val="-2"/>
                <w:sz w:val="24"/>
              </w:rPr>
              <w:t>本校開設課程總學分</w:t>
            </w:r>
          </w:p>
        </w:tc>
        <w:tc>
          <w:tcPr>
            <w:tcW w:w="2637" w:type="dxa"/>
            <w:gridSpan w:val="2"/>
          </w:tcPr>
          <w:p>
            <w:pPr>
              <w:pStyle w:val="TableParagraph"/>
              <w:spacing w:before="123"/>
              <w:ind w:left="1143" w:right="1116"/>
              <w:jc w:val="center"/>
              <w:rPr>
                <w:rFonts w:ascii="Times New Roman"/>
                <w:sz w:val="24"/>
              </w:rPr>
            </w:pPr>
            <w:r>
              <w:rPr>
                <w:rFonts w:ascii="Times New Roman"/>
                <w:spacing w:val="-5"/>
                <w:w w:val="95"/>
                <w:sz w:val="24"/>
              </w:rPr>
              <w:t>499</w:t>
            </w:r>
          </w:p>
        </w:tc>
      </w:tr>
      <w:tr>
        <w:trPr>
          <w:trHeight w:val="1845" w:hRule="atLeast"/>
        </w:trPr>
        <w:tc>
          <w:tcPr>
            <w:tcW w:w="3261" w:type="dxa"/>
            <w:gridSpan w:val="3"/>
          </w:tcPr>
          <w:p>
            <w:pPr>
              <w:pStyle w:val="TableParagraph"/>
              <w:spacing w:before="19"/>
              <w:ind w:left="40"/>
              <w:rPr>
                <w:sz w:val="24"/>
              </w:rPr>
            </w:pPr>
            <w:r>
              <w:rPr>
                <w:spacing w:val="-2"/>
                <w:sz w:val="24"/>
              </w:rPr>
              <w:t>本校培育之學系所</w:t>
            </w:r>
          </w:p>
        </w:tc>
        <w:tc>
          <w:tcPr>
            <w:tcW w:w="7090" w:type="dxa"/>
            <w:gridSpan w:val="7"/>
          </w:tcPr>
          <w:p>
            <w:pPr>
              <w:pStyle w:val="TableParagraph"/>
              <w:tabs>
                <w:tab w:pos="1477" w:val="left" w:leader="none"/>
              </w:tabs>
              <w:spacing w:line="187" w:lineRule="auto" w:before="21"/>
              <w:ind w:left="37" w:right="4040"/>
              <w:rPr>
                <w:sz w:val="24"/>
              </w:rPr>
            </w:pPr>
            <w:r>
              <w:rPr>
                <w:spacing w:val="-2"/>
                <w:sz w:val="24"/>
              </w:rPr>
              <w:t>國</w:t>
            </w:r>
            <w:r>
              <w:rPr>
                <w:spacing w:val="-2"/>
                <w:sz w:val="24"/>
              </w:rPr>
              <w:t>際</w:t>
            </w:r>
            <w:r>
              <w:rPr>
                <w:spacing w:val="-2"/>
                <w:sz w:val="24"/>
              </w:rPr>
              <w:t>企</w:t>
            </w:r>
            <w:r>
              <w:rPr>
                <w:spacing w:val="-2"/>
                <w:sz w:val="24"/>
              </w:rPr>
              <w:t>業</w:t>
            </w:r>
            <w:r>
              <w:rPr>
                <w:spacing w:val="-2"/>
                <w:sz w:val="24"/>
              </w:rPr>
              <w:t>學</w:t>
            </w:r>
            <w:r>
              <w:rPr>
                <w:spacing w:val="-2"/>
                <w:sz w:val="24"/>
              </w:rPr>
              <w:t>系</w:t>
            </w:r>
            <w:r>
              <w:rPr>
                <w:spacing w:val="-2"/>
                <w:sz w:val="24"/>
              </w:rPr>
              <w:t>（</w:t>
            </w:r>
            <w:r>
              <w:rPr>
                <w:spacing w:val="-2"/>
                <w:sz w:val="24"/>
              </w:rPr>
              <w:t>含</w:t>
            </w:r>
            <w:r>
              <w:rPr>
                <w:spacing w:val="-2"/>
                <w:sz w:val="24"/>
              </w:rPr>
              <w:t>碩</w:t>
            </w:r>
            <w:r>
              <w:rPr>
                <w:spacing w:val="-2"/>
                <w:sz w:val="24"/>
              </w:rPr>
              <w:t>士</w:t>
            </w:r>
            <w:r>
              <w:rPr>
                <w:spacing w:val="-2"/>
                <w:sz w:val="24"/>
              </w:rPr>
              <w:t>班</w:t>
            </w:r>
            <w:r>
              <w:rPr>
                <w:spacing w:val="-2"/>
                <w:sz w:val="24"/>
              </w:rPr>
              <w:t>）</w:t>
            </w:r>
            <w:r>
              <w:rPr>
                <w:spacing w:val="-4"/>
                <w:sz w:val="24"/>
              </w:rPr>
              <w:t>會</w:t>
            </w:r>
            <w:r>
              <w:rPr>
                <w:spacing w:val="-4"/>
                <w:sz w:val="24"/>
              </w:rPr>
              <w:t>計</w:t>
            </w:r>
            <w:r>
              <w:rPr>
                <w:spacing w:val="-4"/>
                <w:sz w:val="24"/>
              </w:rPr>
              <w:t>學</w:t>
            </w:r>
            <w:r>
              <w:rPr>
                <w:spacing w:val="-4"/>
                <w:sz w:val="24"/>
              </w:rPr>
              <w:t>系</w:t>
            </w:r>
            <w:r>
              <w:rPr>
                <w:sz w:val="24"/>
              </w:rPr>
              <w:tab/>
            </w:r>
            <w:r>
              <w:rPr>
                <w:spacing w:val="-2"/>
                <w:sz w:val="24"/>
              </w:rPr>
              <w:t>（</w:t>
            </w:r>
            <w:r>
              <w:rPr>
                <w:spacing w:val="-2"/>
                <w:sz w:val="24"/>
              </w:rPr>
              <w:t>含</w:t>
            </w:r>
            <w:r>
              <w:rPr>
                <w:spacing w:val="-2"/>
                <w:sz w:val="24"/>
              </w:rPr>
              <w:t>碩</w:t>
            </w:r>
            <w:r>
              <w:rPr>
                <w:spacing w:val="-2"/>
                <w:sz w:val="24"/>
              </w:rPr>
              <w:t>士</w:t>
            </w:r>
            <w:r>
              <w:rPr>
                <w:spacing w:val="-2"/>
                <w:sz w:val="24"/>
              </w:rPr>
              <w:t>班</w:t>
            </w:r>
            <w:r>
              <w:rPr>
                <w:spacing w:val="-2"/>
                <w:sz w:val="24"/>
              </w:rPr>
              <w:t>）</w:t>
            </w:r>
            <w:r>
              <w:rPr>
                <w:sz w:val="24"/>
              </w:rPr>
              <w:t>企業管理學系（含</w:t>
            </w:r>
            <w:r>
              <w:rPr>
                <w:spacing w:val="-30"/>
                <w:sz w:val="24"/>
              </w:rPr>
              <w:t> </w:t>
            </w:r>
            <w:r>
              <w:rPr>
                <w:sz w:val="24"/>
              </w:rPr>
              <w:t>碩士班</w:t>
            </w:r>
            <w:r>
              <w:rPr>
                <w:sz w:val="24"/>
              </w:rPr>
              <w:t>）</w:t>
            </w:r>
            <w:r>
              <w:rPr>
                <w:spacing w:val="-2"/>
                <w:sz w:val="24"/>
              </w:rPr>
              <w:t>財</w:t>
            </w:r>
            <w:r>
              <w:rPr>
                <w:spacing w:val="-2"/>
                <w:sz w:val="24"/>
              </w:rPr>
              <w:t>務</w:t>
            </w:r>
            <w:r>
              <w:rPr>
                <w:spacing w:val="-2"/>
                <w:sz w:val="24"/>
              </w:rPr>
              <w:t>金</w:t>
            </w:r>
            <w:r>
              <w:rPr>
                <w:spacing w:val="-2"/>
                <w:sz w:val="24"/>
              </w:rPr>
              <w:t>融</w:t>
            </w:r>
            <w:r>
              <w:rPr>
                <w:spacing w:val="-2"/>
                <w:sz w:val="24"/>
              </w:rPr>
              <w:t>學</w:t>
            </w:r>
            <w:r>
              <w:rPr>
                <w:spacing w:val="-2"/>
                <w:sz w:val="24"/>
              </w:rPr>
              <w:t>系</w:t>
            </w:r>
            <w:r>
              <w:rPr>
                <w:spacing w:val="-2"/>
                <w:sz w:val="24"/>
              </w:rPr>
              <w:t>（</w:t>
            </w:r>
            <w:r>
              <w:rPr>
                <w:spacing w:val="-2"/>
                <w:sz w:val="24"/>
              </w:rPr>
              <w:t>含</w:t>
            </w:r>
            <w:r>
              <w:rPr>
                <w:spacing w:val="-2"/>
                <w:sz w:val="24"/>
              </w:rPr>
              <w:t>碩</w:t>
            </w:r>
            <w:r>
              <w:rPr>
                <w:spacing w:val="-2"/>
                <w:sz w:val="24"/>
              </w:rPr>
              <w:t>士</w:t>
            </w:r>
            <w:r>
              <w:rPr>
                <w:spacing w:val="-2"/>
                <w:sz w:val="24"/>
              </w:rPr>
              <w:t>班</w:t>
            </w:r>
            <w:r>
              <w:rPr>
                <w:spacing w:val="-2"/>
                <w:sz w:val="24"/>
              </w:rPr>
              <w:t>）</w:t>
            </w:r>
            <w:r>
              <w:rPr>
                <w:spacing w:val="-2"/>
                <w:sz w:val="24"/>
              </w:rPr>
              <w:t>觀</w:t>
            </w:r>
            <w:r>
              <w:rPr>
                <w:spacing w:val="-2"/>
                <w:sz w:val="24"/>
              </w:rPr>
              <w:t>光</w:t>
            </w:r>
            <w:r>
              <w:rPr>
                <w:spacing w:val="-2"/>
                <w:sz w:val="24"/>
              </w:rPr>
              <w:t>事</w:t>
            </w:r>
            <w:r>
              <w:rPr>
                <w:spacing w:val="-2"/>
                <w:sz w:val="24"/>
              </w:rPr>
              <w:t>業</w:t>
            </w:r>
            <w:r>
              <w:rPr>
                <w:spacing w:val="-2"/>
                <w:sz w:val="24"/>
              </w:rPr>
              <w:t>學</w:t>
            </w:r>
            <w:r>
              <w:rPr>
                <w:spacing w:val="-2"/>
                <w:sz w:val="24"/>
              </w:rPr>
              <w:t>系</w:t>
            </w:r>
            <w:r>
              <w:rPr>
                <w:spacing w:val="-2"/>
                <w:sz w:val="24"/>
              </w:rPr>
              <w:t>（</w:t>
            </w:r>
            <w:r>
              <w:rPr>
                <w:spacing w:val="-2"/>
                <w:sz w:val="24"/>
              </w:rPr>
              <w:t>含</w:t>
            </w:r>
            <w:r>
              <w:rPr>
                <w:spacing w:val="-2"/>
                <w:sz w:val="24"/>
              </w:rPr>
              <w:t>碩</w:t>
            </w:r>
            <w:r>
              <w:rPr>
                <w:spacing w:val="-2"/>
                <w:sz w:val="24"/>
              </w:rPr>
              <w:t>士</w:t>
            </w:r>
            <w:r>
              <w:rPr>
                <w:spacing w:val="-2"/>
                <w:sz w:val="24"/>
              </w:rPr>
              <w:t>班</w:t>
            </w:r>
            <w:r>
              <w:rPr>
                <w:spacing w:val="-2"/>
                <w:sz w:val="24"/>
              </w:rPr>
              <w:t>）</w:t>
            </w:r>
            <w:r>
              <w:rPr>
                <w:spacing w:val="-2"/>
                <w:sz w:val="24"/>
              </w:rPr>
              <w:t>資</w:t>
            </w:r>
            <w:r>
              <w:rPr>
                <w:spacing w:val="-2"/>
                <w:sz w:val="24"/>
              </w:rPr>
              <w:t>訊</w:t>
            </w:r>
            <w:r>
              <w:rPr>
                <w:spacing w:val="-2"/>
                <w:sz w:val="24"/>
              </w:rPr>
              <w:t>管</w:t>
            </w:r>
            <w:r>
              <w:rPr>
                <w:spacing w:val="-2"/>
                <w:sz w:val="24"/>
              </w:rPr>
              <w:t>理</w:t>
            </w:r>
            <w:r>
              <w:rPr>
                <w:spacing w:val="-2"/>
                <w:sz w:val="24"/>
              </w:rPr>
              <w:t>學</w:t>
            </w:r>
            <w:r>
              <w:rPr>
                <w:spacing w:val="-2"/>
                <w:sz w:val="24"/>
              </w:rPr>
              <w:t>系</w:t>
            </w:r>
            <w:r>
              <w:rPr>
                <w:spacing w:val="-2"/>
                <w:sz w:val="24"/>
              </w:rPr>
              <w:t>（</w:t>
            </w:r>
            <w:r>
              <w:rPr>
                <w:spacing w:val="-2"/>
                <w:sz w:val="24"/>
              </w:rPr>
              <w:t>含</w:t>
            </w:r>
            <w:r>
              <w:rPr>
                <w:spacing w:val="-2"/>
                <w:sz w:val="24"/>
              </w:rPr>
              <w:t>碩</w:t>
            </w:r>
            <w:r>
              <w:rPr>
                <w:spacing w:val="-2"/>
                <w:sz w:val="24"/>
              </w:rPr>
              <w:t>士</w:t>
            </w:r>
            <w:r>
              <w:rPr>
                <w:spacing w:val="-2"/>
                <w:sz w:val="24"/>
              </w:rPr>
              <w:t>班</w:t>
            </w:r>
            <w:r>
              <w:rPr>
                <w:spacing w:val="-2"/>
                <w:sz w:val="24"/>
              </w:rPr>
              <w:t>）</w:t>
            </w:r>
          </w:p>
          <w:p>
            <w:pPr>
              <w:pStyle w:val="TableParagraph"/>
              <w:spacing w:line="233" w:lineRule="exact"/>
              <w:ind w:left="37"/>
              <w:rPr>
                <w:sz w:val="24"/>
              </w:rPr>
            </w:pPr>
            <w:r>
              <w:rPr>
                <w:spacing w:val="-2"/>
                <w:sz w:val="24"/>
              </w:rPr>
              <w:t>經營管理進修學士班</w:t>
            </w:r>
          </w:p>
        </w:tc>
      </w:tr>
      <w:tr>
        <w:trPr>
          <w:trHeight w:val="427" w:hRule="atLeast"/>
        </w:trPr>
        <w:tc>
          <w:tcPr>
            <w:tcW w:w="3261" w:type="dxa"/>
            <w:gridSpan w:val="3"/>
          </w:tcPr>
          <w:p>
            <w:pPr>
              <w:pStyle w:val="TableParagraph"/>
              <w:spacing w:before="12"/>
              <w:ind w:left="1145" w:right="1118"/>
              <w:jc w:val="center"/>
              <w:rPr>
                <w:sz w:val="24"/>
              </w:rPr>
            </w:pPr>
            <w:r>
              <w:rPr>
                <w:spacing w:val="-3"/>
                <w:sz w:val="24"/>
              </w:rPr>
              <w:t>課程類別</w:t>
            </w:r>
          </w:p>
        </w:tc>
        <w:tc>
          <w:tcPr>
            <w:tcW w:w="7090" w:type="dxa"/>
            <w:gridSpan w:val="7"/>
          </w:tcPr>
          <w:p>
            <w:pPr>
              <w:pStyle w:val="TableParagraph"/>
              <w:spacing w:before="12"/>
              <w:ind w:left="3225" w:right="2867"/>
              <w:jc w:val="center"/>
              <w:rPr>
                <w:sz w:val="24"/>
              </w:rPr>
            </w:pPr>
            <w:r>
              <w:rPr>
                <w:spacing w:val="-3"/>
                <w:sz w:val="24"/>
              </w:rPr>
              <w:t>科目內容</w:t>
            </w:r>
          </w:p>
        </w:tc>
      </w:tr>
      <w:tr>
        <w:trPr>
          <w:trHeight w:val="537" w:hRule="atLeast"/>
        </w:trPr>
        <w:tc>
          <w:tcPr>
            <w:tcW w:w="1560" w:type="dxa"/>
          </w:tcPr>
          <w:p>
            <w:pPr>
              <w:pStyle w:val="TableParagraph"/>
              <w:spacing w:before="136"/>
              <w:ind w:left="38"/>
              <w:rPr>
                <w:sz w:val="24"/>
              </w:rPr>
            </w:pPr>
            <w:r>
              <w:rPr>
                <w:spacing w:val="-3"/>
                <w:sz w:val="24"/>
              </w:rPr>
              <w:t>類別名稱</w:t>
            </w:r>
          </w:p>
        </w:tc>
        <w:tc>
          <w:tcPr>
            <w:tcW w:w="849" w:type="dxa"/>
          </w:tcPr>
          <w:p>
            <w:pPr>
              <w:pStyle w:val="TableParagraph"/>
              <w:spacing w:line="153" w:lineRule="auto" w:before="15"/>
              <w:ind w:left="4" w:right="113"/>
              <w:rPr>
                <w:sz w:val="20"/>
              </w:rPr>
            </w:pPr>
            <w:r>
              <w:rPr>
                <w:spacing w:val="-22"/>
                <w:sz w:val="20"/>
              </w:rPr>
              <w:t>學</w:t>
            </w:r>
            <w:r>
              <w:rPr>
                <w:spacing w:val="-22"/>
                <w:sz w:val="20"/>
              </w:rPr>
              <w:t>生</w:t>
            </w:r>
            <w:r>
              <w:rPr>
                <w:spacing w:val="-22"/>
                <w:sz w:val="20"/>
              </w:rPr>
              <w:t>最</w:t>
            </w:r>
            <w:r>
              <w:rPr>
                <w:spacing w:val="-22"/>
                <w:sz w:val="20"/>
              </w:rPr>
              <w:t>低</w:t>
            </w:r>
            <w:r>
              <w:rPr>
                <w:spacing w:val="-12"/>
                <w:w w:val="95"/>
                <w:sz w:val="20"/>
              </w:rPr>
              <w:t>需</w:t>
            </w:r>
            <w:r>
              <w:rPr>
                <w:spacing w:val="-12"/>
                <w:w w:val="95"/>
                <w:sz w:val="20"/>
              </w:rPr>
              <w:t>修</w:t>
            </w:r>
            <w:r>
              <w:rPr>
                <w:spacing w:val="-12"/>
                <w:w w:val="95"/>
                <w:sz w:val="20"/>
              </w:rPr>
              <w:t>習</w:t>
            </w:r>
            <w:r>
              <w:rPr>
                <w:spacing w:val="-14"/>
                <w:w w:val="95"/>
                <w:sz w:val="20"/>
              </w:rPr>
              <w:t>學</w:t>
            </w:r>
          </w:p>
          <w:p>
            <w:pPr>
              <w:pStyle w:val="TableParagraph"/>
              <w:spacing w:line="143" w:lineRule="exact"/>
              <w:ind w:left="4"/>
              <w:rPr>
                <w:sz w:val="20"/>
              </w:rPr>
            </w:pPr>
            <w:r>
              <w:rPr>
                <w:spacing w:val="-12"/>
                <w:w w:val="95"/>
                <w:sz w:val="20"/>
              </w:rPr>
              <w:t>分</w:t>
            </w:r>
            <w:r>
              <w:rPr>
                <w:spacing w:val="-10"/>
                <w:sz w:val="20"/>
              </w:rPr>
              <w:t>數</w:t>
            </w:r>
          </w:p>
        </w:tc>
        <w:tc>
          <w:tcPr>
            <w:tcW w:w="852" w:type="dxa"/>
          </w:tcPr>
          <w:p>
            <w:pPr>
              <w:pStyle w:val="TableParagraph"/>
              <w:spacing w:line="153" w:lineRule="auto" w:before="15"/>
              <w:ind w:left="5" w:right="143"/>
              <w:rPr>
                <w:sz w:val="20"/>
              </w:rPr>
            </w:pPr>
            <w:r>
              <w:rPr>
                <w:spacing w:val="-30"/>
                <w:sz w:val="20"/>
              </w:rPr>
              <w:t>學</w:t>
            </w:r>
            <w:r>
              <w:rPr>
                <w:spacing w:val="-30"/>
                <w:sz w:val="20"/>
              </w:rPr>
              <w:t>校</w:t>
            </w:r>
            <w:r>
              <w:rPr>
                <w:spacing w:val="-30"/>
                <w:sz w:val="20"/>
              </w:rPr>
              <w:t>開</w:t>
            </w:r>
            <w:r>
              <w:rPr>
                <w:spacing w:val="-30"/>
                <w:sz w:val="20"/>
              </w:rPr>
              <w:t>設</w:t>
            </w:r>
            <w:r>
              <w:rPr>
                <w:spacing w:val="-20"/>
                <w:w w:val="95"/>
                <w:sz w:val="20"/>
              </w:rPr>
              <w:t>課</w:t>
            </w:r>
            <w:r>
              <w:rPr>
                <w:spacing w:val="-20"/>
                <w:w w:val="95"/>
                <w:sz w:val="20"/>
              </w:rPr>
              <w:t>程</w:t>
            </w:r>
            <w:r>
              <w:rPr>
                <w:spacing w:val="-20"/>
                <w:w w:val="95"/>
                <w:sz w:val="20"/>
              </w:rPr>
              <w:t>學</w:t>
            </w:r>
            <w:r>
              <w:rPr>
                <w:spacing w:val="-20"/>
                <w:w w:val="95"/>
                <w:sz w:val="20"/>
              </w:rPr>
              <w:t>分</w:t>
            </w:r>
          </w:p>
          <w:p>
            <w:pPr>
              <w:pStyle w:val="TableParagraph"/>
              <w:spacing w:line="143" w:lineRule="exact"/>
              <w:ind w:left="5"/>
              <w:rPr>
                <w:sz w:val="20"/>
              </w:rPr>
            </w:pPr>
            <w:r>
              <w:rPr>
                <w:w w:val="99"/>
                <w:sz w:val="20"/>
              </w:rPr>
              <w:t>數</w:t>
            </w:r>
          </w:p>
        </w:tc>
        <w:tc>
          <w:tcPr>
            <w:tcW w:w="2126" w:type="dxa"/>
            <w:gridSpan w:val="2"/>
          </w:tcPr>
          <w:p>
            <w:pPr>
              <w:pStyle w:val="TableParagraph"/>
              <w:spacing w:before="156"/>
              <w:ind w:left="37"/>
              <w:rPr>
                <w:sz w:val="22"/>
              </w:rPr>
            </w:pPr>
            <w:r>
              <w:rPr>
                <w:spacing w:val="-3"/>
                <w:sz w:val="22"/>
              </w:rPr>
              <w:t>科目名稱</w:t>
            </w:r>
          </w:p>
        </w:tc>
        <w:tc>
          <w:tcPr>
            <w:tcW w:w="708" w:type="dxa"/>
          </w:tcPr>
          <w:p>
            <w:pPr>
              <w:pStyle w:val="TableParagraph"/>
              <w:spacing w:before="156"/>
              <w:ind w:left="38" w:right="-15"/>
              <w:jc w:val="center"/>
              <w:rPr>
                <w:sz w:val="22"/>
              </w:rPr>
            </w:pPr>
            <w:r>
              <w:rPr>
                <w:spacing w:val="-4"/>
                <w:sz w:val="22"/>
              </w:rPr>
              <w:t>學分數</w:t>
            </w:r>
          </w:p>
        </w:tc>
        <w:tc>
          <w:tcPr>
            <w:tcW w:w="850" w:type="dxa"/>
          </w:tcPr>
          <w:p>
            <w:pPr>
              <w:pStyle w:val="TableParagraph"/>
              <w:spacing w:before="156"/>
              <w:ind w:left="111" w:right="40"/>
              <w:jc w:val="center"/>
              <w:rPr>
                <w:sz w:val="22"/>
              </w:rPr>
            </w:pPr>
            <w:r>
              <w:rPr>
                <w:spacing w:val="-4"/>
                <w:sz w:val="22"/>
              </w:rPr>
              <w:t>必選修</w:t>
            </w:r>
          </w:p>
        </w:tc>
        <w:tc>
          <w:tcPr>
            <w:tcW w:w="2128" w:type="dxa"/>
            <w:gridSpan w:val="2"/>
          </w:tcPr>
          <w:p>
            <w:pPr>
              <w:pStyle w:val="TableParagraph"/>
              <w:spacing w:line="248" w:lineRule="exact" w:before="2"/>
              <w:ind w:left="73" w:right="108"/>
              <w:jc w:val="center"/>
              <w:rPr>
                <w:b/>
                <w:sz w:val="19"/>
              </w:rPr>
            </w:pPr>
            <w:r>
              <w:rPr>
                <w:spacing w:val="-12"/>
                <w:w w:val="95"/>
                <w:sz w:val="18"/>
              </w:rPr>
              <w:t>申</w:t>
            </w:r>
            <w:r>
              <w:rPr>
                <w:spacing w:val="-12"/>
                <w:w w:val="95"/>
                <w:sz w:val="18"/>
              </w:rPr>
              <w:t>請</w:t>
            </w:r>
            <w:r>
              <w:rPr>
                <w:spacing w:val="-12"/>
                <w:w w:val="95"/>
                <w:sz w:val="18"/>
              </w:rPr>
              <w:t>採</w:t>
            </w:r>
            <w:r>
              <w:rPr>
                <w:spacing w:val="-12"/>
                <w:w w:val="95"/>
                <w:sz w:val="18"/>
              </w:rPr>
              <w:t>認</w:t>
            </w:r>
            <w:r>
              <w:rPr>
                <w:b/>
                <w:color w:val="000000"/>
                <w:spacing w:val="-12"/>
                <w:w w:val="95"/>
                <w:sz w:val="19"/>
                <w:shd w:fill="FFFF00" w:color="auto" w:val="clear"/>
              </w:rPr>
              <w:t>科</w:t>
            </w:r>
            <w:r>
              <w:rPr>
                <w:b/>
                <w:color w:val="000000"/>
                <w:spacing w:val="-12"/>
                <w:w w:val="95"/>
                <w:sz w:val="19"/>
                <w:shd w:fill="FFFF00" w:color="auto" w:val="clear"/>
              </w:rPr>
              <w:t>目</w:t>
            </w:r>
            <w:r>
              <w:rPr>
                <w:b/>
                <w:color w:val="000000"/>
                <w:spacing w:val="-12"/>
                <w:w w:val="95"/>
                <w:sz w:val="19"/>
                <w:shd w:fill="FFFF00" w:color="auto" w:val="clear"/>
              </w:rPr>
              <w:t>名</w:t>
            </w:r>
            <w:r>
              <w:rPr>
                <w:b/>
                <w:color w:val="000000"/>
                <w:spacing w:val="-12"/>
                <w:w w:val="95"/>
                <w:sz w:val="19"/>
                <w:shd w:fill="FFFF00" w:color="auto" w:val="clear"/>
              </w:rPr>
              <w:t>稱</w:t>
            </w:r>
            <w:r>
              <w:rPr>
                <w:b/>
                <w:color w:val="000000"/>
                <w:spacing w:val="-12"/>
                <w:w w:val="95"/>
                <w:sz w:val="19"/>
                <w:shd w:fill="FFFF00" w:color="auto" w:val="clear"/>
              </w:rPr>
              <w:t>/</w:t>
            </w:r>
            <w:r>
              <w:rPr>
                <w:b/>
                <w:color w:val="000000"/>
                <w:spacing w:val="-12"/>
                <w:w w:val="95"/>
                <w:sz w:val="19"/>
                <w:shd w:fill="FFFF00" w:color="auto" w:val="clear"/>
              </w:rPr>
              <w:t>學</w:t>
            </w:r>
            <w:r>
              <w:rPr>
                <w:b/>
                <w:color w:val="000000"/>
                <w:spacing w:val="-12"/>
                <w:w w:val="95"/>
                <w:sz w:val="19"/>
                <w:shd w:fill="FFFF00" w:color="auto" w:val="clear"/>
              </w:rPr>
              <w:t>分</w:t>
            </w:r>
            <w:r>
              <w:rPr>
                <w:b/>
                <w:color w:val="000000"/>
                <w:spacing w:val="-12"/>
                <w:w w:val="95"/>
                <w:sz w:val="19"/>
                <w:shd w:fill="FFFF00" w:color="auto" w:val="clear"/>
              </w:rPr>
              <w:t>數</w:t>
            </w:r>
          </w:p>
          <w:p>
            <w:pPr>
              <w:pStyle w:val="TableParagraph"/>
              <w:spacing w:line="262" w:lineRule="exact"/>
              <w:ind w:left="73" w:right="99"/>
              <w:jc w:val="center"/>
              <w:rPr>
                <w:sz w:val="20"/>
              </w:rPr>
            </w:pPr>
            <w:r>
              <w:rPr>
                <w:color w:val="000000"/>
                <w:spacing w:val="-12"/>
                <w:w w:val="95"/>
                <w:sz w:val="20"/>
                <w:shd w:fill="FFFF00" w:color="auto" w:val="clear"/>
              </w:rPr>
              <w:t>(</w:t>
            </w:r>
            <w:r>
              <w:rPr>
                <w:color w:val="000000"/>
                <w:spacing w:val="-12"/>
                <w:w w:val="95"/>
                <w:sz w:val="20"/>
                <w:shd w:fill="FFFF00" w:color="auto" w:val="clear"/>
              </w:rPr>
              <w:t>由</w:t>
            </w:r>
            <w:r>
              <w:rPr>
                <w:color w:val="000000"/>
                <w:spacing w:val="-12"/>
                <w:w w:val="95"/>
                <w:sz w:val="20"/>
                <w:shd w:fill="FFFF00" w:color="auto" w:val="clear"/>
              </w:rPr>
              <w:t>申</w:t>
            </w:r>
            <w:r>
              <w:rPr>
                <w:color w:val="000000"/>
                <w:spacing w:val="-12"/>
                <w:w w:val="95"/>
                <w:sz w:val="20"/>
                <w:shd w:fill="FFFF00" w:color="auto" w:val="clear"/>
              </w:rPr>
              <w:t>請</w:t>
            </w:r>
            <w:r>
              <w:rPr>
                <w:color w:val="000000"/>
                <w:spacing w:val="-12"/>
                <w:w w:val="95"/>
                <w:sz w:val="20"/>
                <w:shd w:fill="FFFF00" w:color="auto" w:val="clear"/>
              </w:rPr>
              <w:t>人</w:t>
            </w:r>
            <w:r>
              <w:rPr>
                <w:color w:val="000000"/>
                <w:spacing w:val="-12"/>
                <w:w w:val="95"/>
                <w:sz w:val="20"/>
                <w:shd w:fill="FFFF00" w:color="auto" w:val="clear"/>
              </w:rPr>
              <w:t>填</w:t>
            </w:r>
            <w:r>
              <w:rPr>
                <w:color w:val="000000"/>
                <w:spacing w:val="-12"/>
                <w:w w:val="95"/>
                <w:sz w:val="20"/>
                <w:shd w:fill="FFFF00" w:color="auto" w:val="clear"/>
              </w:rPr>
              <w:t>寫</w:t>
            </w:r>
            <w:r>
              <w:rPr>
                <w:color w:val="000000"/>
                <w:spacing w:val="-12"/>
                <w:w w:val="95"/>
                <w:sz w:val="20"/>
                <w:shd w:fill="FFFF00" w:color="auto" w:val="clear"/>
              </w:rPr>
              <w:t>)</w:t>
            </w:r>
          </w:p>
        </w:tc>
        <w:tc>
          <w:tcPr>
            <w:tcW w:w="1278" w:type="dxa"/>
          </w:tcPr>
          <w:p>
            <w:pPr>
              <w:pStyle w:val="TableParagraph"/>
              <w:spacing w:line="183" w:lineRule="exact"/>
              <w:ind w:left="262"/>
              <w:rPr>
                <w:sz w:val="17"/>
              </w:rPr>
            </w:pPr>
            <w:r>
              <w:rPr>
                <w:spacing w:val="-22"/>
                <w:sz w:val="17"/>
              </w:rPr>
              <w:t>採認學分數</w:t>
            </w:r>
          </w:p>
          <w:p>
            <w:pPr>
              <w:pStyle w:val="TableParagraph"/>
              <w:spacing w:line="180" w:lineRule="exact"/>
              <w:ind w:left="166"/>
              <w:rPr>
                <w:sz w:val="17"/>
              </w:rPr>
            </w:pPr>
            <w:r>
              <w:rPr>
                <w:rFonts w:ascii="Times New Roman" w:eastAsia="Times New Roman"/>
                <w:spacing w:val="-20"/>
                <w:sz w:val="17"/>
              </w:rPr>
              <w:t>(</w:t>
            </w:r>
            <w:r>
              <w:rPr>
                <w:spacing w:val="-20"/>
                <w:sz w:val="17"/>
              </w:rPr>
              <w:t>限由審查學系</w:t>
            </w:r>
          </w:p>
          <w:p>
            <w:pPr>
              <w:pStyle w:val="TableParagraph"/>
              <w:spacing w:line="155" w:lineRule="exact"/>
              <w:ind w:left="166"/>
              <w:rPr>
                <w:rFonts w:ascii="Times New Roman" w:eastAsia="Times New Roman"/>
                <w:sz w:val="17"/>
              </w:rPr>
            </w:pPr>
            <w:r>
              <w:rPr>
                <w:spacing w:val="-22"/>
                <w:sz w:val="17"/>
              </w:rPr>
              <w:t>承辦秘書填寫</w:t>
            </w:r>
            <w:r>
              <w:rPr>
                <w:rFonts w:ascii="Times New Roman" w:eastAsia="Times New Roman"/>
                <w:spacing w:val="-22"/>
                <w:sz w:val="17"/>
              </w:rPr>
              <w:t>)</w:t>
            </w:r>
          </w:p>
        </w:tc>
      </w:tr>
      <w:tr>
        <w:trPr>
          <w:trHeight w:val="290" w:hRule="atLeast"/>
        </w:trPr>
        <w:tc>
          <w:tcPr>
            <w:tcW w:w="1560" w:type="dxa"/>
            <w:vMerge w:val="restart"/>
            <w:tcBorders>
              <w:bottom w:val="nil"/>
            </w:tcBorders>
          </w:tcPr>
          <w:p>
            <w:pPr>
              <w:pStyle w:val="TableParagraph"/>
              <w:spacing w:line="299" w:lineRule="exact"/>
              <w:ind w:left="40"/>
              <w:rPr>
                <w:sz w:val="24"/>
              </w:rPr>
            </w:pPr>
            <w:r>
              <w:rPr>
                <w:spacing w:val="-2"/>
                <w:sz w:val="24"/>
              </w:rPr>
              <w:t>組織經營能力</w:t>
            </w:r>
          </w:p>
        </w:tc>
        <w:tc>
          <w:tcPr>
            <w:tcW w:w="849" w:type="dxa"/>
            <w:vMerge w:val="restart"/>
            <w:tcBorders>
              <w:bottom w:val="nil"/>
            </w:tcBorders>
          </w:tcPr>
          <w:p>
            <w:pPr>
              <w:pStyle w:val="TableParagraph"/>
              <w:spacing w:line="256" w:lineRule="exact"/>
              <w:ind w:left="305" w:right="275"/>
              <w:jc w:val="center"/>
              <w:rPr>
                <w:rFonts w:ascii="Times New Roman"/>
                <w:sz w:val="24"/>
              </w:rPr>
            </w:pPr>
            <w:r>
              <w:rPr>
                <w:rFonts w:ascii="Times New Roman"/>
                <w:spacing w:val="-5"/>
                <w:w w:val="95"/>
                <w:sz w:val="24"/>
              </w:rPr>
              <w:t>10</w:t>
            </w:r>
          </w:p>
        </w:tc>
        <w:tc>
          <w:tcPr>
            <w:tcW w:w="852" w:type="dxa"/>
            <w:vMerge w:val="restart"/>
            <w:tcBorders>
              <w:bottom w:val="nil"/>
            </w:tcBorders>
          </w:tcPr>
          <w:p>
            <w:pPr>
              <w:pStyle w:val="TableParagraph"/>
              <w:spacing w:line="256" w:lineRule="exact"/>
              <w:ind w:left="306" w:right="277"/>
              <w:jc w:val="center"/>
              <w:rPr>
                <w:rFonts w:ascii="Times New Roman"/>
                <w:sz w:val="24"/>
              </w:rPr>
            </w:pPr>
            <w:r>
              <w:rPr>
                <w:rFonts w:ascii="Times New Roman"/>
                <w:spacing w:val="-5"/>
                <w:w w:val="95"/>
                <w:sz w:val="24"/>
              </w:rPr>
              <w:t>66</w:t>
            </w:r>
          </w:p>
        </w:tc>
        <w:tc>
          <w:tcPr>
            <w:tcW w:w="2126" w:type="dxa"/>
            <w:gridSpan w:val="2"/>
          </w:tcPr>
          <w:p>
            <w:pPr>
              <w:pStyle w:val="TableParagraph"/>
              <w:spacing w:line="270" w:lineRule="exact"/>
              <w:ind w:left="39"/>
              <w:rPr>
                <w:sz w:val="22"/>
              </w:rPr>
            </w:pPr>
            <w:r>
              <w:rPr>
                <w:spacing w:val="-4"/>
                <w:sz w:val="22"/>
              </w:rPr>
              <w:t>人力資源管理</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4"/>
                <w:sz w:val="22"/>
              </w:rPr>
              <w:t>人力資源管理系統</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3"/>
                <w:sz w:val="22"/>
              </w:rPr>
              <w:t>作業管理</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3"/>
                <w:sz w:val="22"/>
              </w:rPr>
              <w:t>行銷管理</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3"/>
                <w:sz w:val="22"/>
              </w:rPr>
              <w:t>服務行銷</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3"/>
                <w:sz w:val="22"/>
              </w:rPr>
              <w:t>組織行為</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rFonts w:ascii="Times New Roman" w:eastAsia="Times New Roman"/>
                <w:sz w:val="22"/>
              </w:rPr>
            </w:pPr>
            <w:r>
              <w:rPr>
                <w:w w:val="105"/>
                <w:sz w:val="22"/>
              </w:rPr>
              <w:t>經</w:t>
            </w:r>
            <w:r>
              <w:rPr>
                <w:w w:val="105"/>
                <w:sz w:val="22"/>
              </w:rPr>
              <w:t>濟</w:t>
            </w:r>
            <w:r>
              <w:rPr>
                <w:w w:val="105"/>
                <w:sz w:val="22"/>
              </w:rPr>
              <w:t>學</w:t>
            </w:r>
            <w:r>
              <w:rPr>
                <w:rFonts w:ascii="Times New Roman" w:eastAsia="Times New Roman"/>
                <w:w w:val="105"/>
                <w:sz w:val="22"/>
              </w:rPr>
              <w:t>(</w:t>
            </w:r>
            <w:r>
              <w:rPr>
                <w:w w:val="105"/>
                <w:sz w:val="22"/>
              </w:rPr>
              <w:t>一</w:t>
            </w:r>
            <w:r>
              <w:rPr>
                <w:rFonts w:ascii="Times New Roman" w:eastAsia="Times New Roman"/>
                <w:spacing w:val="-10"/>
                <w:w w:val="105"/>
                <w:sz w:val="22"/>
              </w:rPr>
              <w:t>)</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rFonts w:ascii="Times New Roman" w:eastAsia="Times New Roman"/>
                <w:sz w:val="22"/>
              </w:rPr>
            </w:pPr>
            <w:r>
              <w:rPr>
                <w:w w:val="105"/>
                <w:sz w:val="22"/>
              </w:rPr>
              <w:t>經</w:t>
            </w:r>
            <w:r>
              <w:rPr>
                <w:w w:val="105"/>
                <w:sz w:val="22"/>
              </w:rPr>
              <w:t>濟</w:t>
            </w:r>
            <w:r>
              <w:rPr>
                <w:w w:val="105"/>
                <w:sz w:val="22"/>
              </w:rPr>
              <w:t>學</w:t>
            </w:r>
            <w:r>
              <w:rPr>
                <w:rFonts w:ascii="Times New Roman" w:eastAsia="Times New Roman"/>
                <w:w w:val="105"/>
                <w:sz w:val="22"/>
              </w:rPr>
              <w:t>(</w:t>
            </w:r>
            <w:r>
              <w:rPr>
                <w:w w:val="105"/>
                <w:sz w:val="22"/>
              </w:rPr>
              <w:t>二</w:t>
            </w:r>
            <w:r>
              <w:rPr>
                <w:rFonts w:ascii="Times New Roman" w:eastAsia="Times New Roman"/>
                <w:spacing w:val="-10"/>
                <w:w w:val="105"/>
                <w:sz w:val="22"/>
              </w:rPr>
              <w:t>)</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4"/>
                <w:sz w:val="22"/>
              </w:rPr>
              <w:t>管理學</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3"/>
                <w:sz w:val="22"/>
              </w:rPr>
              <w:t>專案管理</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4"/>
                <w:sz w:val="22"/>
              </w:rPr>
              <w:t>組織理論與管理</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4"/>
                <w:sz w:val="22"/>
              </w:rPr>
              <w:t>國際企業專題研討</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4"/>
                <w:sz w:val="22"/>
              </w:rPr>
              <w:t>行銷研究專題研討</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3"/>
                <w:sz w:val="22"/>
              </w:rPr>
              <w:t>銷售管理</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0" w:lineRule="exact"/>
              <w:ind w:left="39"/>
              <w:rPr>
                <w:sz w:val="22"/>
              </w:rPr>
            </w:pPr>
            <w:r>
              <w:rPr>
                <w:spacing w:val="-4"/>
                <w:sz w:val="22"/>
              </w:rPr>
              <w:t>國際運籌管理專題</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0"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39"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2"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gridSpan w:val="2"/>
          </w:tcPr>
          <w:p>
            <w:pPr>
              <w:pStyle w:val="TableParagraph"/>
              <w:spacing w:line="272" w:lineRule="exact"/>
              <w:ind w:left="39"/>
              <w:rPr>
                <w:sz w:val="22"/>
              </w:rPr>
            </w:pPr>
            <w:r>
              <w:rPr>
                <w:spacing w:val="-4"/>
                <w:sz w:val="22"/>
              </w:rPr>
              <w:t>組織管理專題</w:t>
            </w:r>
          </w:p>
        </w:tc>
        <w:tc>
          <w:tcPr>
            <w:tcW w:w="708" w:type="dxa"/>
          </w:tcPr>
          <w:p>
            <w:pPr>
              <w:pStyle w:val="TableParagraph"/>
              <w:spacing w:before="8"/>
              <w:ind w:left="27"/>
              <w:jc w:val="center"/>
              <w:rPr>
                <w:rFonts w:ascii="Times New Roman"/>
                <w:sz w:val="22"/>
              </w:rPr>
            </w:pPr>
            <w:r>
              <w:rPr>
                <w:rFonts w:ascii="Times New Roman"/>
                <w:w w:val="84"/>
                <w:sz w:val="22"/>
              </w:rPr>
              <w:t>3</w:t>
            </w:r>
          </w:p>
        </w:tc>
        <w:tc>
          <w:tcPr>
            <w:tcW w:w="850" w:type="dxa"/>
          </w:tcPr>
          <w:p>
            <w:pPr>
              <w:pStyle w:val="TableParagraph"/>
              <w:spacing w:line="272" w:lineRule="exact"/>
              <w:ind w:left="111" w:right="40"/>
              <w:jc w:val="center"/>
              <w:rPr>
                <w:sz w:val="22"/>
              </w:rPr>
            </w:pPr>
            <w:r>
              <w:rPr>
                <w:spacing w:val="-5"/>
                <w:sz w:val="22"/>
              </w:rPr>
              <w:t>選修</w:t>
            </w:r>
          </w:p>
        </w:tc>
        <w:tc>
          <w:tcPr>
            <w:tcW w:w="2128" w:type="dxa"/>
            <w:gridSpan w:val="2"/>
          </w:tcPr>
          <w:p>
            <w:pPr>
              <w:pStyle w:val="TableParagraph"/>
              <w:rPr>
                <w:rFonts w:ascii="Times New Roman"/>
                <w:sz w:val="20"/>
              </w:rPr>
            </w:pPr>
          </w:p>
        </w:tc>
        <w:tc>
          <w:tcPr>
            <w:tcW w:w="1278" w:type="dxa"/>
          </w:tcPr>
          <w:p>
            <w:pPr>
              <w:pStyle w:val="TableParagraph"/>
              <w:tabs>
                <w:tab w:pos="822" w:val="left" w:leader="none"/>
              </w:tabs>
              <w:spacing w:line="241" w:lineRule="exact" w:before="31"/>
              <w:ind w:left="1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bl>
    <w:p>
      <w:pPr>
        <w:spacing w:after="0" w:line="241" w:lineRule="exact"/>
        <w:jc w:val="center"/>
        <w:rPr>
          <w:sz w:val="18"/>
        </w:rPr>
        <w:sectPr>
          <w:type w:val="continuous"/>
          <w:pgSz w:w="11900" w:h="16850"/>
          <w:pgMar w:top="920" w:bottom="280" w:left="700" w:right="5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49"/>
        <w:gridCol w:w="852"/>
        <w:gridCol w:w="2126"/>
        <w:gridCol w:w="707"/>
        <w:gridCol w:w="849"/>
        <w:gridCol w:w="2126"/>
        <w:gridCol w:w="1276"/>
      </w:tblGrid>
      <w:tr>
        <w:trPr>
          <w:trHeight w:val="290" w:hRule="atLeast"/>
        </w:trPr>
        <w:tc>
          <w:tcPr>
            <w:tcW w:w="1560" w:type="dxa"/>
            <w:vMerge w:val="restart"/>
            <w:tcBorders>
              <w:top w:val="nil"/>
            </w:tcBorders>
          </w:tcPr>
          <w:p>
            <w:pPr>
              <w:pStyle w:val="TableParagraph"/>
              <w:rPr>
                <w:rFonts w:ascii="Times New Roman"/>
                <w:sz w:val="20"/>
              </w:rPr>
            </w:pPr>
          </w:p>
        </w:tc>
        <w:tc>
          <w:tcPr>
            <w:tcW w:w="849" w:type="dxa"/>
            <w:vMerge w:val="restart"/>
            <w:tcBorders>
              <w:top w:val="nil"/>
            </w:tcBorders>
          </w:tcPr>
          <w:p>
            <w:pPr>
              <w:pStyle w:val="TableParagraph"/>
              <w:rPr>
                <w:rFonts w:ascii="Times New Roman"/>
                <w:sz w:val="20"/>
              </w:rPr>
            </w:pPr>
          </w:p>
        </w:tc>
        <w:tc>
          <w:tcPr>
            <w:tcW w:w="852" w:type="dxa"/>
            <w:vMerge w:val="restart"/>
            <w:tcBorders>
              <w:top w:val="nil"/>
            </w:tcBorders>
          </w:tcPr>
          <w:p>
            <w:pPr>
              <w:pStyle w:val="TableParagraph"/>
              <w:rPr>
                <w:rFonts w:ascii="Times New Roman"/>
                <w:sz w:val="20"/>
              </w:rPr>
            </w:pPr>
          </w:p>
        </w:tc>
        <w:tc>
          <w:tcPr>
            <w:tcW w:w="2126" w:type="dxa"/>
          </w:tcPr>
          <w:p>
            <w:pPr>
              <w:pStyle w:val="TableParagraph"/>
              <w:spacing w:line="270" w:lineRule="exact"/>
              <w:ind w:left="39"/>
              <w:rPr>
                <w:sz w:val="22"/>
              </w:rPr>
            </w:pPr>
            <w:r>
              <w:rPr>
                <w:spacing w:val="-4"/>
                <w:sz w:val="22"/>
              </w:rPr>
              <w:t>金融行銷管理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採購與物料管理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2"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顧客關係管理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人際溝通與情緒管理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中小企業經營</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服務管理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val="restart"/>
            <w:tcBorders>
              <w:bottom w:val="nil"/>
            </w:tcBorders>
          </w:tcPr>
          <w:p>
            <w:pPr>
              <w:pStyle w:val="TableParagraph"/>
              <w:spacing w:line="297" w:lineRule="exact"/>
              <w:ind w:left="40"/>
              <w:rPr>
                <w:sz w:val="24"/>
              </w:rPr>
            </w:pPr>
            <w:r>
              <w:rPr>
                <w:spacing w:val="-2"/>
                <w:sz w:val="24"/>
              </w:rPr>
              <w:t>財務金融能力</w:t>
            </w:r>
          </w:p>
        </w:tc>
        <w:tc>
          <w:tcPr>
            <w:tcW w:w="849" w:type="dxa"/>
            <w:vMerge w:val="restart"/>
            <w:tcBorders>
              <w:bottom w:val="nil"/>
            </w:tcBorders>
          </w:tcPr>
          <w:p>
            <w:pPr>
              <w:pStyle w:val="TableParagraph"/>
              <w:spacing w:line="253" w:lineRule="exact"/>
              <w:ind w:left="31"/>
              <w:jc w:val="center"/>
              <w:rPr>
                <w:rFonts w:ascii="Times New Roman"/>
                <w:sz w:val="24"/>
              </w:rPr>
            </w:pPr>
            <w:r>
              <w:rPr>
                <w:rFonts w:ascii="Times New Roman"/>
                <w:w w:val="85"/>
                <w:sz w:val="24"/>
              </w:rPr>
              <w:t>8</w:t>
            </w:r>
          </w:p>
        </w:tc>
        <w:tc>
          <w:tcPr>
            <w:tcW w:w="852" w:type="dxa"/>
            <w:vMerge w:val="restart"/>
            <w:tcBorders>
              <w:bottom w:val="nil"/>
            </w:tcBorders>
          </w:tcPr>
          <w:p>
            <w:pPr>
              <w:pStyle w:val="TableParagraph"/>
              <w:spacing w:line="253" w:lineRule="exact"/>
              <w:ind w:left="214"/>
              <w:rPr>
                <w:rFonts w:ascii="Times New Roman"/>
                <w:sz w:val="24"/>
              </w:rPr>
            </w:pPr>
            <w:r>
              <w:rPr>
                <w:rFonts w:ascii="Times New Roman"/>
                <w:spacing w:val="-5"/>
                <w:sz w:val="24"/>
              </w:rPr>
              <w:t>185</w:t>
            </w:r>
          </w:p>
        </w:tc>
        <w:tc>
          <w:tcPr>
            <w:tcW w:w="2126" w:type="dxa"/>
          </w:tcPr>
          <w:p>
            <w:pPr>
              <w:pStyle w:val="TableParagraph"/>
              <w:spacing w:line="270" w:lineRule="exact"/>
              <w:ind w:left="39"/>
              <w:rPr>
                <w:sz w:val="22"/>
              </w:rPr>
            </w:pPr>
            <w:r>
              <w:rPr>
                <w:spacing w:val="-4"/>
                <w:sz w:val="22"/>
              </w:rPr>
              <w:t>會計學</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初</w:t>
            </w:r>
            <w:r>
              <w:rPr>
                <w:sz w:val="22"/>
              </w:rPr>
              <w:t>級</w:t>
            </w:r>
            <w:r>
              <w:rPr>
                <w:sz w:val="22"/>
              </w:rPr>
              <w:t>會</w:t>
            </w:r>
            <w:r>
              <w:rPr>
                <w:sz w:val="22"/>
              </w:rPr>
              <w:t>計</w:t>
            </w:r>
            <w:r>
              <w:rPr>
                <w:sz w:val="22"/>
              </w:rPr>
              <w:t>學</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初</w:t>
            </w:r>
            <w:r>
              <w:rPr>
                <w:sz w:val="22"/>
              </w:rPr>
              <w:t>級</w:t>
            </w:r>
            <w:r>
              <w:rPr>
                <w:sz w:val="22"/>
              </w:rPr>
              <w:t>會</w:t>
            </w:r>
            <w:r>
              <w:rPr>
                <w:sz w:val="22"/>
              </w:rPr>
              <w:t>計</w:t>
            </w:r>
            <w:r>
              <w:rPr>
                <w:sz w:val="22"/>
              </w:rPr>
              <w:t>學</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中</w:t>
            </w:r>
            <w:r>
              <w:rPr>
                <w:sz w:val="22"/>
              </w:rPr>
              <w:t>級</w:t>
            </w:r>
            <w:r>
              <w:rPr>
                <w:sz w:val="22"/>
              </w:rPr>
              <w:t>會</w:t>
            </w:r>
            <w:r>
              <w:rPr>
                <w:sz w:val="22"/>
              </w:rPr>
              <w:t>計</w:t>
            </w:r>
            <w:r>
              <w:rPr>
                <w:sz w:val="22"/>
              </w:rPr>
              <w:t>學</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中</w:t>
            </w:r>
            <w:r>
              <w:rPr>
                <w:sz w:val="22"/>
              </w:rPr>
              <w:t>級</w:t>
            </w:r>
            <w:r>
              <w:rPr>
                <w:sz w:val="22"/>
              </w:rPr>
              <w:t>會</w:t>
            </w:r>
            <w:r>
              <w:rPr>
                <w:sz w:val="22"/>
              </w:rPr>
              <w:t>計</w:t>
            </w:r>
            <w:r>
              <w:rPr>
                <w:sz w:val="22"/>
              </w:rPr>
              <w:t>學</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中級會計學專題研討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1" w:lineRule="exact"/>
              <w:ind w:left="39"/>
              <w:rPr>
                <w:rFonts w:ascii="Times New Roman" w:eastAsia="Times New Roman"/>
                <w:sz w:val="22"/>
              </w:rPr>
            </w:pPr>
            <w:r>
              <w:rPr>
                <w:sz w:val="22"/>
              </w:rPr>
              <w:t>高</w:t>
            </w:r>
            <w:r>
              <w:rPr>
                <w:sz w:val="22"/>
              </w:rPr>
              <w:t>級</w:t>
            </w:r>
            <w:r>
              <w:rPr>
                <w:sz w:val="22"/>
              </w:rPr>
              <w:t>會</w:t>
            </w:r>
            <w:r>
              <w:rPr>
                <w:sz w:val="22"/>
              </w:rPr>
              <w:t>計</w:t>
            </w:r>
            <w:r>
              <w:rPr>
                <w:sz w:val="22"/>
              </w:rPr>
              <w:t>學</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6"/>
              <w:ind w:left="28"/>
              <w:jc w:val="center"/>
              <w:rPr>
                <w:rFonts w:ascii="Times New Roman"/>
                <w:sz w:val="22"/>
              </w:rPr>
            </w:pPr>
            <w:r>
              <w:rPr>
                <w:rFonts w:ascii="Times New Roman"/>
                <w:w w:val="84"/>
                <w:sz w:val="22"/>
              </w:rPr>
              <w:t>3</w:t>
            </w:r>
          </w:p>
        </w:tc>
        <w:tc>
          <w:tcPr>
            <w:tcW w:w="849" w:type="dxa"/>
          </w:tcPr>
          <w:p>
            <w:pPr>
              <w:pStyle w:val="TableParagraph"/>
              <w:spacing w:line="271"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高</w:t>
            </w:r>
            <w:r>
              <w:rPr>
                <w:sz w:val="22"/>
              </w:rPr>
              <w:t>級</w:t>
            </w:r>
            <w:r>
              <w:rPr>
                <w:sz w:val="22"/>
              </w:rPr>
              <w:t>會</w:t>
            </w:r>
            <w:r>
              <w:rPr>
                <w:sz w:val="22"/>
              </w:rPr>
              <w:t>計</w:t>
            </w:r>
            <w:r>
              <w:rPr>
                <w:sz w:val="22"/>
              </w:rPr>
              <w:t>學</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高等會計學專題研討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高等財務會計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成本會計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管理會計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財務會計專題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成</w:t>
            </w:r>
            <w:r>
              <w:rPr>
                <w:sz w:val="22"/>
              </w:rPr>
              <w:t>本</w:t>
            </w:r>
            <w:r>
              <w:rPr>
                <w:sz w:val="22"/>
              </w:rPr>
              <w:t>會</w:t>
            </w:r>
            <w:r>
              <w:rPr>
                <w:sz w:val="22"/>
              </w:rPr>
              <w:t>計</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成</w:t>
            </w:r>
            <w:r>
              <w:rPr>
                <w:sz w:val="22"/>
              </w:rPr>
              <w:t>本</w:t>
            </w:r>
            <w:r>
              <w:rPr>
                <w:sz w:val="22"/>
              </w:rPr>
              <w:t>會</w:t>
            </w:r>
            <w:r>
              <w:rPr>
                <w:sz w:val="22"/>
              </w:rPr>
              <w:t>計</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w w:val="105"/>
                <w:sz w:val="22"/>
              </w:rPr>
              <w:t>審</w:t>
            </w:r>
            <w:r>
              <w:rPr>
                <w:w w:val="105"/>
                <w:sz w:val="22"/>
              </w:rPr>
              <w:t>計</w:t>
            </w:r>
            <w:r>
              <w:rPr>
                <w:w w:val="105"/>
                <w:sz w:val="22"/>
              </w:rPr>
              <w:t>學</w:t>
            </w:r>
            <w:r>
              <w:rPr>
                <w:rFonts w:ascii="Times New Roman" w:eastAsia="Times New Roman"/>
                <w:w w:val="105"/>
                <w:sz w:val="22"/>
              </w:rPr>
              <w:t>(</w:t>
            </w:r>
            <w:r>
              <w:rPr>
                <w:w w:val="105"/>
                <w:sz w:val="22"/>
              </w:rPr>
              <w:t>一</w:t>
            </w:r>
            <w:r>
              <w:rPr>
                <w:rFonts w:ascii="Times New Roman" w:eastAsia="Times New Roman"/>
                <w:spacing w:val="-10"/>
                <w:w w:val="105"/>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w w:val="105"/>
                <w:sz w:val="22"/>
              </w:rPr>
              <w:t>審</w:t>
            </w:r>
            <w:r>
              <w:rPr>
                <w:w w:val="105"/>
                <w:sz w:val="22"/>
              </w:rPr>
              <w:t>計</w:t>
            </w:r>
            <w:r>
              <w:rPr>
                <w:w w:val="105"/>
                <w:sz w:val="22"/>
              </w:rPr>
              <w:t>學</w:t>
            </w:r>
            <w:r>
              <w:rPr>
                <w:rFonts w:ascii="Times New Roman" w:eastAsia="Times New Roman"/>
                <w:w w:val="105"/>
                <w:sz w:val="22"/>
              </w:rPr>
              <w:t>(</w:t>
            </w:r>
            <w:r>
              <w:rPr>
                <w:w w:val="105"/>
                <w:sz w:val="22"/>
              </w:rPr>
              <w:t>二</w:t>
            </w:r>
            <w:r>
              <w:rPr>
                <w:rFonts w:ascii="Times New Roman" w:eastAsia="Times New Roman"/>
                <w:spacing w:val="-10"/>
                <w:w w:val="105"/>
                <w:sz w:val="22"/>
              </w:rPr>
              <w:t>)</w:t>
            </w:r>
          </w:p>
        </w:tc>
        <w:tc>
          <w:tcPr>
            <w:tcW w:w="707" w:type="dxa"/>
          </w:tcPr>
          <w:p>
            <w:pPr>
              <w:pStyle w:val="TableParagraph"/>
              <w:spacing w:before="6"/>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w w:val="105"/>
                <w:sz w:val="22"/>
              </w:rPr>
              <w:t>統</w:t>
            </w:r>
            <w:r>
              <w:rPr>
                <w:w w:val="105"/>
                <w:sz w:val="22"/>
              </w:rPr>
              <w:t>計</w:t>
            </w:r>
            <w:r>
              <w:rPr>
                <w:w w:val="105"/>
                <w:sz w:val="22"/>
              </w:rPr>
              <w:t>學</w:t>
            </w:r>
            <w:r>
              <w:rPr>
                <w:rFonts w:ascii="Times New Roman" w:eastAsia="Times New Roman"/>
                <w:w w:val="105"/>
                <w:sz w:val="22"/>
              </w:rPr>
              <w:t>(</w:t>
            </w:r>
            <w:r>
              <w:rPr>
                <w:w w:val="105"/>
                <w:sz w:val="22"/>
              </w:rPr>
              <w:t>一</w:t>
            </w:r>
            <w:r>
              <w:rPr>
                <w:rFonts w:ascii="Times New Roman" w:eastAsia="Times New Roman"/>
                <w:spacing w:val="-10"/>
                <w:w w:val="105"/>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w w:val="105"/>
                <w:sz w:val="22"/>
              </w:rPr>
              <w:t>統</w:t>
            </w:r>
            <w:r>
              <w:rPr>
                <w:w w:val="105"/>
                <w:sz w:val="22"/>
              </w:rPr>
              <w:t>計</w:t>
            </w:r>
            <w:r>
              <w:rPr>
                <w:w w:val="105"/>
                <w:sz w:val="22"/>
              </w:rPr>
              <w:t>學</w:t>
            </w:r>
            <w:r>
              <w:rPr>
                <w:rFonts w:ascii="Times New Roman" w:eastAsia="Times New Roman"/>
                <w:w w:val="105"/>
                <w:sz w:val="22"/>
              </w:rPr>
              <w:t>(</w:t>
            </w:r>
            <w:r>
              <w:rPr>
                <w:w w:val="105"/>
                <w:sz w:val="22"/>
              </w:rPr>
              <w:t>二</w:t>
            </w:r>
            <w:r>
              <w:rPr>
                <w:rFonts w:ascii="Times New Roman" w:eastAsia="Times New Roman"/>
                <w:spacing w:val="-10"/>
                <w:w w:val="105"/>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審計學專題研討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兩岸會審實務研討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高等管理會計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管理決策會計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管理會計學專題研討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投資學</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投資管理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1" w:lineRule="exact"/>
              <w:ind w:left="39"/>
              <w:rPr>
                <w:sz w:val="22"/>
              </w:rPr>
            </w:pPr>
            <w:r>
              <w:rPr>
                <w:spacing w:val="-4"/>
                <w:sz w:val="22"/>
              </w:rPr>
              <w:t>期貨與選擇權</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1"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2"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金融市場</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金融機構管理專題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證券市場</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銀行管理專題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貨幣銀行學</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財務報表分析</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財務報告分析</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證券分析</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財務分析與企業評價</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財報分析專題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證券投資分析</w:t>
            </w:r>
          </w:p>
        </w:tc>
        <w:tc>
          <w:tcPr>
            <w:tcW w:w="707" w:type="dxa"/>
          </w:tcPr>
          <w:p>
            <w:pPr>
              <w:pStyle w:val="TableParagraph"/>
              <w:spacing w:before="6"/>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財務管理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財</w:t>
            </w:r>
            <w:r>
              <w:rPr>
                <w:sz w:val="22"/>
              </w:rPr>
              <w:t>務</w:t>
            </w:r>
            <w:r>
              <w:rPr>
                <w:sz w:val="22"/>
              </w:rPr>
              <w:t>管</w:t>
            </w:r>
            <w:r>
              <w:rPr>
                <w:sz w:val="22"/>
              </w:rPr>
              <w:t>理</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財</w:t>
            </w:r>
            <w:r>
              <w:rPr>
                <w:sz w:val="22"/>
              </w:rPr>
              <w:t>務</w:t>
            </w:r>
            <w:r>
              <w:rPr>
                <w:sz w:val="22"/>
              </w:rPr>
              <w:t>管</w:t>
            </w:r>
            <w:r>
              <w:rPr>
                <w:sz w:val="22"/>
              </w:rPr>
              <w:t>理</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財務管理實務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財務會計資訊系統</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企業評價實務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財務管理專題講座</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數位金融與整合行銷</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bl>
    <w:p>
      <w:pPr>
        <w:spacing w:after="0" w:line="241" w:lineRule="exact"/>
        <w:jc w:val="center"/>
        <w:rPr>
          <w:sz w:val="18"/>
        </w:rPr>
        <w:sectPr>
          <w:type w:val="continuous"/>
          <w:pgSz w:w="11900" w:h="16850"/>
          <w:pgMar w:top="880" w:bottom="216" w:left="700" w:right="5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49"/>
        <w:gridCol w:w="852"/>
        <w:gridCol w:w="2126"/>
        <w:gridCol w:w="707"/>
        <w:gridCol w:w="849"/>
        <w:gridCol w:w="2126"/>
        <w:gridCol w:w="1276"/>
      </w:tblGrid>
      <w:tr>
        <w:trPr>
          <w:trHeight w:val="290" w:hRule="atLeast"/>
        </w:trPr>
        <w:tc>
          <w:tcPr>
            <w:tcW w:w="1560" w:type="dxa"/>
            <w:vMerge w:val="restart"/>
            <w:tcBorders>
              <w:top w:val="nil"/>
            </w:tcBorders>
          </w:tcPr>
          <w:p>
            <w:pPr>
              <w:pStyle w:val="TableParagraph"/>
              <w:rPr>
                <w:rFonts w:ascii="Times New Roman"/>
                <w:sz w:val="20"/>
              </w:rPr>
            </w:pPr>
          </w:p>
        </w:tc>
        <w:tc>
          <w:tcPr>
            <w:tcW w:w="849" w:type="dxa"/>
            <w:vMerge w:val="restart"/>
            <w:tcBorders>
              <w:top w:val="nil"/>
            </w:tcBorders>
          </w:tcPr>
          <w:p>
            <w:pPr>
              <w:pStyle w:val="TableParagraph"/>
              <w:rPr>
                <w:rFonts w:ascii="Times New Roman"/>
                <w:sz w:val="20"/>
              </w:rPr>
            </w:pPr>
          </w:p>
        </w:tc>
        <w:tc>
          <w:tcPr>
            <w:tcW w:w="852" w:type="dxa"/>
            <w:vMerge w:val="restart"/>
            <w:tcBorders>
              <w:top w:val="nil"/>
            </w:tcBorders>
          </w:tcPr>
          <w:p>
            <w:pPr>
              <w:pStyle w:val="TableParagraph"/>
              <w:rPr>
                <w:rFonts w:ascii="Times New Roman"/>
                <w:sz w:val="20"/>
              </w:rPr>
            </w:pPr>
          </w:p>
        </w:tc>
        <w:tc>
          <w:tcPr>
            <w:tcW w:w="2126" w:type="dxa"/>
          </w:tcPr>
          <w:p>
            <w:pPr>
              <w:pStyle w:val="TableParagraph"/>
              <w:spacing w:line="270" w:lineRule="exact"/>
              <w:ind w:left="39"/>
              <w:rPr>
                <w:sz w:val="22"/>
              </w:rPr>
            </w:pPr>
            <w:r>
              <w:rPr>
                <w:spacing w:val="-4"/>
                <w:sz w:val="22"/>
              </w:rPr>
              <w:t>金融風險管理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保險學</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2"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稅</w:t>
            </w:r>
            <w:r>
              <w:rPr>
                <w:sz w:val="22"/>
              </w:rPr>
              <w:t>務</w:t>
            </w:r>
            <w:r>
              <w:rPr>
                <w:sz w:val="22"/>
              </w:rPr>
              <w:t>會</w:t>
            </w:r>
            <w:r>
              <w:rPr>
                <w:sz w:val="22"/>
              </w:rPr>
              <w:t>計</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稅</w:t>
            </w:r>
            <w:r>
              <w:rPr>
                <w:sz w:val="22"/>
              </w:rPr>
              <w:t>務</w:t>
            </w:r>
            <w:r>
              <w:rPr>
                <w:sz w:val="22"/>
              </w:rPr>
              <w:t>會</w:t>
            </w:r>
            <w:r>
              <w:rPr>
                <w:sz w:val="22"/>
              </w:rPr>
              <w:t>計</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企業租稅規劃</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不動產金融與管理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不動產投資</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不動產投資專題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不動產估價</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企業財務管理實務研</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稅務法規專題研討</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證券與衍生性金融商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1" w:lineRule="exact"/>
              <w:ind w:left="39"/>
              <w:rPr>
                <w:sz w:val="22"/>
              </w:rPr>
            </w:pPr>
            <w:r>
              <w:rPr>
                <w:spacing w:val="-3"/>
                <w:sz w:val="22"/>
              </w:rPr>
              <w:t>政府會計</w:t>
            </w:r>
          </w:p>
        </w:tc>
        <w:tc>
          <w:tcPr>
            <w:tcW w:w="707" w:type="dxa"/>
          </w:tcPr>
          <w:p>
            <w:pPr>
              <w:pStyle w:val="TableParagraph"/>
              <w:spacing w:before="6"/>
              <w:ind w:left="28"/>
              <w:jc w:val="center"/>
              <w:rPr>
                <w:rFonts w:ascii="Times New Roman"/>
                <w:sz w:val="22"/>
              </w:rPr>
            </w:pPr>
            <w:r>
              <w:rPr>
                <w:rFonts w:ascii="Times New Roman"/>
                <w:w w:val="84"/>
                <w:sz w:val="22"/>
              </w:rPr>
              <w:t>2</w:t>
            </w:r>
          </w:p>
        </w:tc>
        <w:tc>
          <w:tcPr>
            <w:tcW w:w="849" w:type="dxa"/>
          </w:tcPr>
          <w:p>
            <w:pPr>
              <w:pStyle w:val="TableParagraph"/>
              <w:spacing w:line="271"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會計師業務實務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會</w:t>
            </w:r>
            <w:r>
              <w:rPr>
                <w:sz w:val="22"/>
              </w:rPr>
              <w:t>計</w:t>
            </w:r>
            <w:r>
              <w:rPr>
                <w:sz w:val="22"/>
              </w:rPr>
              <w:t>審</w:t>
            </w:r>
            <w:r>
              <w:rPr>
                <w:sz w:val="22"/>
              </w:rPr>
              <w:t>計</w:t>
            </w:r>
            <w:r>
              <w:rPr>
                <w:sz w:val="22"/>
              </w:rPr>
              <w:t>實務</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銀行會計與實務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會計資訊與行為財務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val="restart"/>
          </w:tcPr>
          <w:p>
            <w:pPr>
              <w:pStyle w:val="TableParagraph"/>
              <w:spacing w:line="299" w:lineRule="exact"/>
              <w:ind w:left="40"/>
              <w:rPr>
                <w:sz w:val="22"/>
              </w:rPr>
            </w:pPr>
            <w:r>
              <w:rPr>
                <w:spacing w:val="-4"/>
                <w:sz w:val="22"/>
              </w:rPr>
              <w:t>國際移動能力</w:t>
            </w:r>
          </w:p>
        </w:tc>
        <w:tc>
          <w:tcPr>
            <w:tcW w:w="849" w:type="dxa"/>
            <w:vMerge w:val="restart"/>
          </w:tcPr>
          <w:p>
            <w:pPr>
              <w:pStyle w:val="TableParagraph"/>
              <w:spacing w:line="263" w:lineRule="exact"/>
              <w:ind w:left="31"/>
              <w:jc w:val="center"/>
              <w:rPr>
                <w:rFonts w:ascii="Times New Roman"/>
                <w:sz w:val="24"/>
              </w:rPr>
            </w:pPr>
            <w:r>
              <w:rPr>
                <w:rFonts w:ascii="Times New Roman"/>
                <w:w w:val="85"/>
                <w:sz w:val="24"/>
              </w:rPr>
              <w:t>6</w:t>
            </w:r>
          </w:p>
        </w:tc>
        <w:tc>
          <w:tcPr>
            <w:tcW w:w="852" w:type="dxa"/>
            <w:vMerge w:val="restart"/>
          </w:tcPr>
          <w:p>
            <w:pPr>
              <w:pStyle w:val="TableParagraph"/>
              <w:spacing w:line="263" w:lineRule="exact"/>
              <w:ind w:left="306" w:right="277"/>
              <w:jc w:val="center"/>
              <w:rPr>
                <w:rFonts w:ascii="Times New Roman"/>
                <w:sz w:val="24"/>
              </w:rPr>
            </w:pPr>
            <w:r>
              <w:rPr>
                <w:rFonts w:ascii="Times New Roman"/>
                <w:spacing w:val="-5"/>
                <w:w w:val="95"/>
                <w:sz w:val="24"/>
              </w:rPr>
              <w:t>66</w:t>
            </w:r>
          </w:p>
        </w:tc>
        <w:tc>
          <w:tcPr>
            <w:tcW w:w="2126" w:type="dxa"/>
          </w:tcPr>
          <w:p>
            <w:pPr>
              <w:pStyle w:val="TableParagraph"/>
              <w:spacing w:line="270" w:lineRule="exact"/>
              <w:ind w:left="39"/>
              <w:rPr>
                <w:sz w:val="22"/>
              </w:rPr>
            </w:pPr>
            <w:r>
              <w:rPr>
                <w:spacing w:val="-3"/>
                <w:sz w:val="22"/>
              </w:rPr>
              <w:t>品牌管理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商</w:t>
            </w:r>
            <w:r>
              <w:rPr>
                <w:sz w:val="22"/>
              </w:rPr>
              <w:t>用</w:t>
            </w:r>
            <w:r>
              <w:rPr>
                <w:sz w:val="22"/>
              </w:rPr>
              <w:t>英</w:t>
            </w:r>
            <w:r>
              <w:rPr>
                <w:sz w:val="22"/>
              </w:rPr>
              <w:t>文</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商</w:t>
            </w:r>
            <w:r>
              <w:rPr>
                <w:sz w:val="22"/>
              </w:rPr>
              <w:t>用</w:t>
            </w:r>
            <w:r>
              <w:rPr>
                <w:sz w:val="22"/>
              </w:rPr>
              <w:t>英</w:t>
            </w:r>
            <w:r>
              <w:rPr>
                <w:sz w:val="22"/>
              </w:rPr>
              <w:t>文</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業</w:t>
            </w:r>
            <w:r>
              <w:rPr>
                <w:sz w:val="22"/>
              </w:rPr>
              <w:t>英</w:t>
            </w:r>
            <w:r>
              <w:rPr>
                <w:sz w:val="22"/>
              </w:rPr>
              <w:t>文</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業</w:t>
            </w:r>
            <w:r>
              <w:rPr>
                <w:sz w:val="22"/>
              </w:rPr>
              <w:t>英</w:t>
            </w:r>
            <w:r>
              <w:rPr>
                <w:sz w:val="22"/>
              </w:rPr>
              <w:t>文</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業</w:t>
            </w:r>
            <w:r>
              <w:rPr>
                <w:sz w:val="22"/>
              </w:rPr>
              <w:t>英</w:t>
            </w:r>
            <w:r>
              <w:rPr>
                <w:sz w:val="22"/>
              </w:rPr>
              <w:t>文</w:t>
            </w:r>
            <w:r>
              <w:rPr>
                <w:sz w:val="22"/>
              </w:rPr>
              <w:t>導讀</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6"/>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業</w:t>
            </w:r>
            <w:r>
              <w:rPr>
                <w:sz w:val="22"/>
              </w:rPr>
              <w:t>英</w:t>
            </w:r>
            <w:r>
              <w:rPr>
                <w:sz w:val="22"/>
              </w:rPr>
              <w:t>文</w:t>
            </w:r>
            <w:r>
              <w:rPr>
                <w:sz w:val="22"/>
              </w:rPr>
              <w:t>導讀</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國際企業管理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國際企業經營策略</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國際行銷</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國際行銷管理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國際金融</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國際貿易理論與政策</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國際貿易實務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國際會議展覽專題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1" w:lineRule="exact"/>
              <w:ind w:left="39"/>
              <w:rPr>
                <w:sz w:val="22"/>
              </w:rPr>
            </w:pPr>
            <w:r>
              <w:rPr>
                <w:spacing w:val="-4"/>
                <w:sz w:val="22"/>
              </w:rPr>
              <w:t>國際運籌管理專題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1"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2"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國際禮儀</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國際財務管理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國際財務專題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全球產業競爭分析</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全球領導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財經英文導讀</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商業實用英文</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進階英文</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val="restart"/>
            <w:tcBorders>
              <w:bottom w:val="nil"/>
            </w:tcBorders>
          </w:tcPr>
          <w:p>
            <w:pPr>
              <w:pStyle w:val="TableParagraph"/>
              <w:spacing w:line="289" w:lineRule="exact"/>
              <w:ind w:left="40"/>
              <w:rPr>
                <w:sz w:val="22"/>
              </w:rPr>
            </w:pPr>
            <w:r>
              <w:rPr>
                <w:spacing w:val="-4"/>
                <w:sz w:val="22"/>
              </w:rPr>
              <w:t>產業創新能力</w:t>
            </w:r>
          </w:p>
        </w:tc>
        <w:tc>
          <w:tcPr>
            <w:tcW w:w="849" w:type="dxa"/>
            <w:vMerge w:val="restart"/>
            <w:tcBorders>
              <w:bottom w:val="nil"/>
            </w:tcBorders>
          </w:tcPr>
          <w:p>
            <w:pPr>
              <w:pStyle w:val="TableParagraph"/>
              <w:spacing w:line="253" w:lineRule="exact"/>
              <w:ind w:left="31"/>
              <w:jc w:val="center"/>
              <w:rPr>
                <w:rFonts w:ascii="Times New Roman"/>
                <w:sz w:val="24"/>
              </w:rPr>
            </w:pPr>
            <w:r>
              <w:rPr>
                <w:rFonts w:ascii="Times New Roman"/>
                <w:w w:val="85"/>
                <w:sz w:val="24"/>
              </w:rPr>
              <w:t>6</w:t>
            </w:r>
          </w:p>
        </w:tc>
        <w:tc>
          <w:tcPr>
            <w:tcW w:w="852" w:type="dxa"/>
            <w:vMerge w:val="restart"/>
            <w:tcBorders>
              <w:bottom w:val="nil"/>
            </w:tcBorders>
          </w:tcPr>
          <w:p>
            <w:pPr>
              <w:pStyle w:val="TableParagraph"/>
              <w:spacing w:line="253" w:lineRule="exact"/>
              <w:ind w:left="306" w:right="277"/>
              <w:jc w:val="center"/>
              <w:rPr>
                <w:rFonts w:ascii="Times New Roman"/>
                <w:sz w:val="24"/>
              </w:rPr>
            </w:pPr>
            <w:r>
              <w:rPr>
                <w:rFonts w:ascii="Times New Roman"/>
                <w:spacing w:val="-5"/>
                <w:w w:val="95"/>
                <w:sz w:val="24"/>
              </w:rPr>
              <w:t>96</w:t>
            </w:r>
          </w:p>
        </w:tc>
        <w:tc>
          <w:tcPr>
            <w:tcW w:w="2126" w:type="dxa"/>
          </w:tcPr>
          <w:p>
            <w:pPr>
              <w:pStyle w:val="TableParagraph"/>
              <w:spacing w:line="270" w:lineRule="exact"/>
              <w:ind w:left="39"/>
              <w:rPr>
                <w:sz w:val="22"/>
              </w:rPr>
            </w:pPr>
            <w:r>
              <w:rPr>
                <w:spacing w:val="-4"/>
                <w:sz w:val="22"/>
              </w:rPr>
              <w:t>公司法</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5"/>
                <w:sz w:val="22"/>
              </w:rPr>
              <w:t>民法</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民法概要</w:t>
            </w:r>
          </w:p>
        </w:tc>
        <w:tc>
          <w:tcPr>
            <w:tcW w:w="707" w:type="dxa"/>
          </w:tcPr>
          <w:p>
            <w:pPr>
              <w:pStyle w:val="TableParagraph"/>
              <w:spacing w:before="6"/>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商事法</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題</w:t>
            </w:r>
            <w:r>
              <w:rPr>
                <w:sz w:val="22"/>
              </w:rPr>
              <w:t>實</w:t>
            </w:r>
            <w:r>
              <w:rPr>
                <w:sz w:val="22"/>
              </w:rPr>
              <w:t>作</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題</w:t>
            </w:r>
            <w:r>
              <w:rPr>
                <w:sz w:val="22"/>
              </w:rPr>
              <w:t>實</w:t>
            </w:r>
            <w:r>
              <w:rPr>
                <w:sz w:val="22"/>
              </w:rPr>
              <w:t>作</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案</w:t>
            </w:r>
            <w:r>
              <w:rPr>
                <w:sz w:val="22"/>
              </w:rPr>
              <w:t>實</w:t>
            </w:r>
            <w:r>
              <w:rPr>
                <w:sz w:val="22"/>
              </w:rPr>
              <w:t>作</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案</w:t>
            </w:r>
            <w:r>
              <w:rPr>
                <w:sz w:val="22"/>
              </w:rPr>
              <w:t>實</w:t>
            </w:r>
            <w:r>
              <w:rPr>
                <w:sz w:val="22"/>
              </w:rPr>
              <w:t>作</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創新管理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稅</w:t>
            </w:r>
            <w:r>
              <w:rPr>
                <w:sz w:val="22"/>
              </w:rPr>
              <w:t>務</w:t>
            </w:r>
            <w:r>
              <w:rPr>
                <w:sz w:val="22"/>
              </w:rPr>
              <w:t>法</w:t>
            </w:r>
            <w:r>
              <w:rPr>
                <w:sz w:val="22"/>
              </w:rPr>
              <w:t>規</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稅</w:t>
            </w:r>
            <w:r>
              <w:rPr>
                <w:sz w:val="22"/>
              </w:rPr>
              <w:t>務</w:t>
            </w:r>
            <w:r>
              <w:rPr>
                <w:sz w:val="22"/>
              </w:rPr>
              <w:t>法</w:t>
            </w:r>
            <w:r>
              <w:rPr>
                <w:sz w:val="22"/>
              </w:rPr>
              <w:t>規</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bl>
    <w:p>
      <w:pPr>
        <w:spacing w:after="0" w:line="241" w:lineRule="exact"/>
        <w:jc w:val="center"/>
        <w:rPr>
          <w:sz w:val="18"/>
        </w:rPr>
        <w:sectPr>
          <w:type w:val="continuous"/>
          <w:pgSz w:w="11900" w:h="16850"/>
          <w:pgMar w:top="880" w:bottom="216" w:left="700" w:right="5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49"/>
        <w:gridCol w:w="852"/>
        <w:gridCol w:w="2126"/>
        <w:gridCol w:w="707"/>
        <w:gridCol w:w="849"/>
        <w:gridCol w:w="2126"/>
        <w:gridCol w:w="1276"/>
      </w:tblGrid>
      <w:tr>
        <w:trPr>
          <w:trHeight w:val="290" w:hRule="atLeast"/>
        </w:trPr>
        <w:tc>
          <w:tcPr>
            <w:tcW w:w="1560" w:type="dxa"/>
            <w:vMerge w:val="restart"/>
            <w:tcBorders>
              <w:top w:val="nil"/>
            </w:tcBorders>
          </w:tcPr>
          <w:p>
            <w:pPr>
              <w:pStyle w:val="TableParagraph"/>
              <w:rPr>
                <w:rFonts w:ascii="Times New Roman"/>
                <w:sz w:val="20"/>
              </w:rPr>
            </w:pPr>
          </w:p>
        </w:tc>
        <w:tc>
          <w:tcPr>
            <w:tcW w:w="849" w:type="dxa"/>
            <w:vMerge w:val="restart"/>
            <w:tcBorders>
              <w:top w:val="nil"/>
            </w:tcBorders>
          </w:tcPr>
          <w:p>
            <w:pPr>
              <w:pStyle w:val="TableParagraph"/>
              <w:rPr>
                <w:rFonts w:ascii="Times New Roman"/>
                <w:sz w:val="20"/>
              </w:rPr>
            </w:pPr>
          </w:p>
        </w:tc>
        <w:tc>
          <w:tcPr>
            <w:tcW w:w="852" w:type="dxa"/>
            <w:vMerge w:val="restart"/>
            <w:tcBorders>
              <w:top w:val="nil"/>
            </w:tcBorders>
          </w:tcPr>
          <w:p>
            <w:pPr>
              <w:pStyle w:val="TableParagraph"/>
              <w:rPr>
                <w:rFonts w:ascii="Times New Roman"/>
                <w:sz w:val="20"/>
              </w:rPr>
            </w:pPr>
          </w:p>
        </w:tc>
        <w:tc>
          <w:tcPr>
            <w:tcW w:w="2126" w:type="dxa"/>
          </w:tcPr>
          <w:p>
            <w:pPr>
              <w:pStyle w:val="TableParagraph"/>
              <w:spacing w:line="270" w:lineRule="exact"/>
              <w:ind w:left="39"/>
              <w:rPr>
                <w:sz w:val="22"/>
              </w:rPr>
            </w:pPr>
            <w:r>
              <w:rPr>
                <w:spacing w:val="-3"/>
                <w:sz w:val="22"/>
              </w:rPr>
              <w:t>網路行銷</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電子商務與網路行銷</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2"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網路行銷專題研討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電子商務概論</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行動電子商務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商業簡報製作</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金融證券法規</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金融科技應用與實務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金融創新專題</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創業管理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證券交易法與證券交</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記帳士相關法規</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1" w:lineRule="exact"/>
              <w:ind w:left="39"/>
              <w:rPr>
                <w:sz w:val="22"/>
              </w:rPr>
            </w:pPr>
            <w:r>
              <w:rPr>
                <w:spacing w:val="-4"/>
                <w:sz w:val="22"/>
              </w:rPr>
              <w:t>記帳士稅捐實務</w:t>
            </w:r>
          </w:p>
        </w:tc>
        <w:tc>
          <w:tcPr>
            <w:tcW w:w="707" w:type="dxa"/>
          </w:tcPr>
          <w:p>
            <w:pPr>
              <w:pStyle w:val="TableParagraph"/>
              <w:spacing w:before="6"/>
              <w:ind w:left="28"/>
              <w:jc w:val="center"/>
              <w:rPr>
                <w:rFonts w:ascii="Times New Roman"/>
                <w:sz w:val="22"/>
              </w:rPr>
            </w:pPr>
            <w:r>
              <w:rPr>
                <w:rFonts w:ascii="Times New Roman"/>
                <w:w w:val="84"/>
                <w:sz w:val="22"/>
              </w:rPr>
              <w:t>3</w:t>
            </w:r>
          </w:p>
        </w:tc>
        <w:tc>
          <w:tcPr>
            <w:tcW w:w="849" w:type="dxa"/>
          </w:tcPr>
          <w:p>
            <w:pPr>
              <w:pStyle w:val="TableParagraph"/>
              <w:spacing w:line="271"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記帳士會計實務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會審法規</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公司治理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個人租稅規劃</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企業租稅規劃</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大陸會計與審計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鑑識會計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公司稽核實務</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商業思維</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487"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46" w:lineRule="exact"/>
              <w:ind w:left="37"/>
              <w:rPr>
                <w:sz w:val="22"/>
              </w:rPr>
            </w:pPr>
            <w:r>
              <w:rPr>
                <w:spacing w:val="-3"/>
                <w:sz w:val="22"/>
              </w:rPr>
              <w:t>公司法、證交法與商</w:t>
            </w:r>
          </w:p>
          <w:p>
            <w:pPr>
              <w:pStyle w:val="TableParagraph"/>
              <w:spacing w:line="221" w:lineRule="exact"/>
              <w:ind w:left="37"/>
              <w:rPr>
                <w:sz w:val="22"/>
              </w:rPr>
            </w:pPr>
            <w:r>
              <w:rPr>
                <w:spacing w:val="-4"/>
                <w:sz w:val="22"/>
              </w:rPr>
              <w:t>業會計法研討</w:t>
            </w:r>
          </w:p>
        </w:tc>
        <w:tc>
          <w:tcPr>
            <w:tcW w:w="707" w:type="dxa"/>
          </w:tcPr>
          <w:p>
            <w:pPr>
              <w:pStyle w:val="TableParagraph"/>
              <w:spacing w:before="116"/>
              <w:ind w:left="28"/>
              <w:jc w:val="center"/>
              <w:rPr>
                <w:rFonts w:ascii="Times New Roman"/>
                <w:sz w:val="22"/>
              </w:rPr>
            </w:pPr>
            <w:r>
              <w:rPr>
                <w:rFonts w:ascii="Times New Roman"/>
                <w:w w:val="84"/>
                <w:sz w:val="22"/>
              </w:rPr>
              <w:t>3</w:t>
            </w:r>
          </w:p>
        </w:tc>
        <w:tc>
          <w:tcPr>
            <w:tcW w:w="849" w:type="dxa"/>
          </w:tcPr>
          <w:p>
            <w:pPr>
              <w:pStyle w:val="TableParagraph"/>
              <w:spacing w:before="102"/>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before="173"/>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畢業專題</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題</w:t>
            </w:r>
            <w:r>
              <w:rPr>
                <w:sz w:val="22"/>
              </w:rPr>
              <w:t>研</w:t>
            </w:r>
            <w:r>
              <w:rPr>
                <w:sz w:val="22"/>
              </w:rPr>
              <w:t>討</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專</w:t>
            </w:r>
            <w:r>
              <w:rPr>
                <w:sz w:val="22"/>
              </w:rPr>
              <w:t>題</w:t>
            </w:r>
            <w:r>
              <w:rPr>
                <w:sz w:val="22"/>
              </w:rPr>
              <w:t>研</w:t>
            </w:r>
            <w:r>
              <w:rPr>
                <w:sz w:val="22"/>
              </w:rPr>
              <w:t>討</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val="restart"/>
            <w:tcBorders>
              <w:bottom w:val="nil"/>
            </w:tcBorders>
          </w:tcPr>
          <w:p>
            <w:pPr>
              <w:pStyle w:val="TableParagraph"/>
              <w:spacing w:line="289" w:lineRule="exact"/>
              <w:ind w:left="40"/>
              <w:rPr>
                <w:sz w:val="22"/>
              </w:rPr>
            </w:pPr>
            <w:r>
              <w:rPr>
                <w:spacing w:val="-4"/>
                <w:sz w:val="22"/>
              </w:rPr>
              <w:t>資訊應用能力</w:t>
            </w:r>
          </w:p>
        </w:tc>
        <w:tc>
          <w:tcPr>
            <w:tcW w:w="849" w:type="dxa"/>
            <w:vMerge w:val="restart"/>
            <w:tcBorders>
              <w:bottom w:val="nil"/>
            </w:tcBorders>
          </w:tcPr>
          <w:p>
            <w:pPr>
              <w:pStyle w:val="TableParagraph"/>
              <w:spacing w:line="253" w:lineRule="exact"/>
              <w:ind w:left="31"/>
              <w:jc w:val="center"/>
              <w:rPr>
                <w:rFonts w:ascii="Times New Roman"/>
                <w:sz w:val="24"/>
              </w:rPr>
            </w:pPr>
            <w:r>
              <w:rPr>
                <w:rFonts w:ascii="Times New Roman"/>
                <w:w w:val="85"/>
                <w:sz w:val="24"/>
              </w:rPr>
              <w:t>6</w:t>
            </w:r>
          </w:p>
        </w:tc>
        <w:tc>
          <w:tcPr>
            <w:tcW w:w="852" w:type="dxa"/>
            <w:vMerge w:val="restart"/>
            <w:tcBorders>
              <w:bottom w:val="nil"/>
            </w:tcBorders>
          </w:tcPr>
          <w:p>
            <w:pPr>
              <w:pStyle w:val="TableParagraph"/>
              <w:spacing w:line="253" w:lineRule="exact"/>
              <w:ind w:left="306" w:right="277"/>
              <w:jc w:val="center"/>
              <w:rPr>
                <w:rFonts w:ascii="Times New Roman"/>
                <w:sz w:val="24"/>
              </w:rPr>
            </w:pPr>
            <w:r>
              <w:rPr>
                <w:rFonts w:ascii="Times New Roman"/>
                <w:spacing w:val="-5"/>
                <w:w w:val="95"/>
                <w:sz w:val="24"/>
              </w:rPr>
              <w:t>73</w:t>
            </w:r>
          </w:p>
        </w:tc>
        <w:tc>
          <w:tcPr>
            <w:tcW w:w="2126" w:type="dxa"/>
          </w:tcPr>
          <w:p>
            <w:pPr>
              <w:pStyle w:val="TableParagraph"/>
              <w:spacing w:line="270" w:lineRule="exact"/>
              <w:ind w:left="39"/>
              <w:rPr>
                <w:sz w:val="22"/>
              </w:rPr>
            </w:pPr>
            <w:r>
              <w:rPr>
                <w:rFonts w:ascii="Times New Roman" w:eastAsia="Times New Roman"/>
                <w:sz w:val="22"/>
              </w:rPr>
              <w:t>APP</w:t>
            </w:r>
            <w:r>
              <w:rPr>
                <w:rFonts w:ascii="Times New Roman" w:eastAsia="Times New Roman"/>
                <w:spacing w:val="-8"/>
                <w:sz w:val="22"/>
              </w:rPr>
              <w:t> </w:t>
            </w:r>
            <w:r>
              <w:rPr>
                <w:spacing w:val="-2"/>
                <w:sz w:val="22"/>
              </w:rPr>
              <w:t>程式設計與應用</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11"/>
                <w:sz w:val="22"/>
              </w:rPr>
              <w:t>金融程式 </w:t>
            </w:r>
            <w:r>
              <w:rPr>
                <w:rFonts w:ascii="Times New Roman" w:eastAsia="Times New Roman"/>
                <w:sz w:val="22"/>
              </w:rPr>
              <w:t>App</w:t>
            </w:r>
            <w:r>
              <w:rPr>
                <w:rFonts w:ascii="Times New Roman" w:eastAsia="Times New Roman"/>
                <w:spacing w:val="-5"/>
                <w:sz w:val="22"/>
              </w:rPr>
              <w:t> </w:t>
            </w:r>
            <w:r>
              <w:rPr>
                <w:spacing w:val="-5"/>
                <w:sz w:val="22"/>
              </w:rPr>
              <w:t>應用</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大數據分析</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大數據分析商業應用</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89"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財金資料與軟體應用</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計</w:t>
            </w:r>
            <w:r>
              <w:rPr>
                <w:sz w:val="22"/>
              </w:rPr>
              <w:t>算</w:t>
            </w:r>
            <w:r>
              <w:rPr>
                <w:sz w:val="22"/>
              </w:rPr>
              <w:t>機</w:t>
            </w:r>
            <w:r>
              <w:rPr>
                <w:sz w:val="22"/>
              </w:rPr>
              <w:t>概</w:t>
            </w:r>
            <w:r>
              <w:rPr>
                <w:sz w:val="22"/>
              </w:rPr>
              <w:t>論</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1" w:lineRule="exact"/>
              <w:ind w:left="39"/>
              <w:rPr>
                <w:rFonts w:ascii="Times New Roman" w:eastAsia="Times New Roman"/>
                <w:sz w:val="22"/>
              </w:rPr>
            </w:pPr>
            <w:r>
              <w:rPr>
                <w:sz w:val="22"/>
              </w:rPr>
              <w:t>計</w:t>
            </w:r>
            <w:r>
              <w:rPr>
                <w:sz w:val="22"/>
              </w:rPr>
              <w:t>算</w:t>
            </w:r>
            <w:r>
              <w:rPr>
                <w:sz w:val="22"/>
              </w:rPr>
              <w:t>機</w:t>
            </w:r>
            <w:r>
              <w:rPr>
                <w:sz w:val="22"/>
              </w:rPr>
              <w:t>概</w:t>
            </w:r>
            <w:r>
              <w:rPr>
                <w:sz w:val="22"/>
              </w:rPr>
              <w:t>論</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6"/>
              <w:ind w:left="28"/>
              <w:jc w:val="center"/>
              <w:rPr>
                <w:rFonts w:ascii="Times New Roman"/>
                <w:sz w:val="22"/>
              </w:rPr>
            </w:pPr>
            <w:r>
              <w:rPr>
                <w:rFonts w:ascii="Times New Roman"/>
                <w:w w:val="84"/>
                <w:sz w:val="22"/>
              </w:rPr>
              <w:t>2</w:t>
            </w:r>
          </w:p>
        </w:tc>
        <w:tc>
          <w:tcPr>
            <w:tcW w:w="849" w:type="dxa"/>
          </w:tcPr>
          <w:p>
            <w:pPr>
              <w:pStyle w:val="TableParagraph"/>
              <w:spacing w:line="271"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資訊應用概論</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程式設計概論</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3"/>
                <w:sz w:val="22"/>
              </w:rPr>
              <w:t>資訊管理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資訊管理導論</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資料庫管理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財務軟體應用</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程</w:t>
            </w:r>
            <w:r>
              <w:rPr>
                <w:sz w:val="22"/>
              </w:rPr>
              <w:t>式</w:t>
            </w:r>
            <w:r>
              <w:rPr>
                <w:sz w:val="22"/>
              </w:rPr>
              <w:t>設</w:t>
            </w:r>
            <w:r>
              <w:rPr>
                <w:sz w:val="22"/>
              </w:rPr>
              <w:t>計</w:t>
            </w:r>
            <w:r>
              <w:rPr>
                <w:rFonts w:ascii="Times New Roman" w:eastAsia="Times New Roman"/>
                <w:sz w:val="22"/>
              </w:rPr>
              <w:t>(</w:t>
            </w:r>
            <w:r>
              <w:rPr>
                <w:sz w:val="22"/>
              </w:rPr>
              <w:t>一</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rFonts w:ascii="Times New Roman" w:eastAsia="Times New Roman"/>
                <w:sz w:val="22"/>
              </w:rPr>
            </w:pPr>
            <w:r>
              <w:rPr>
                <w:sz w:val="22"/>
              </w:rPr>
              <w:t>程</w:t>
            </w:r>
            <w:r>
              <w:rPr>
                <w:sz w:val="22"/>
              </w:rPr>
              <w:t>式</w:t>
            </w:r>
            <w:r>
              <w:rPr>
                <w:sz w:val="22"/>
              </w:rPr>
              <w:t>設</w:t>
            </w:r>
            <w:r>
              <w:rPr>
                <w:sz w:val="22"/>
              </w:rPr>
              <w:t>計</w:t>
            </w:r>
            <w:r>
              <w:rPr>
                <w:rFonts w:ascii="Times New Roman" w:eastAsia="Times New Roman"/>
                <w:sz w:val="22"/>
              </w:rPr>
              <w:t>(</w:t>
            </w:r>
            <w:r>
              <w:rPr>
                <w:sz w:val="22"/>
              </w:rPr>
              <w:t>二</w:t>
            </w:r>
            <w:r>
              <w:rPr>
                <w:rFonts w:ascii="Times New Roman" w:eastAsia="Times New Roman"/>
                <w:spacing w:val="-10"/>
                <w:sz w:val="22"/>
              </w:rPr>
              <w:t>)</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企業資源規劃</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2"/>
                <w:sz w:val="22"/>
              </w:rPr>
              <w:t>企業資源規劃</w:t>
            </w:r>
            <w:r>
              <w:rPr>
                <w:rFonts w:ascii="Times New Roman" w:eastAsia="Times New Roman"/>
                <w:spacing w:val="-2"/>
                <w:sz w:val="22"/>
              </w:rPr>
              <w:t>-</w:t>
            </w:r>
            <w:r>
              <w:rPr>
                <w:spacing w:val="-5"/>
                <w:sz w:val="22"/>
              </w:rPr>
              <w:t>導論與</w:t>
            </w:r>
          </w:p>
        </w:tc>
        <w:tc>
          <w:tcPr>
            <w:tcW w:w="707" w:type="dxa"/>
          </w:tcPr>
          <w:p>
            <w:pPr>
              <w:pStyle w:val="TableParagraph"/>
              <w:spacing w:before="6"/>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9"/>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2"/>
                <w:sz w:val="22"/>
              </w:rPr>
              <w:t>企業資源規劃</w:t>
            </w:r>
            <w:r>
              <w:rPr>
                <w:rFonts w:ascii="Times New Roman" w:eastAsia="Times New Roman"/>
                <w:spacing w:val="-2"/>
                <w:sz w:val="22"/>
              </w:rPr>
              <w:t>-</w:t>
            </w:r>
            <w:r>
              <w:rPr>
                <w:spacing w:val="-5"/>
                <w:sz w:val="22"/>
              </w:rPr>
              <w:t>財務模</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rFonts w:ascii="Times New Roman" w:eastAsia="Times New Roman"/>
                <w:spacing w:val="-2"/>
                <w:sz w:val="22"/>
              </w:rPr>
              <w:t>ERP-</w:t>
            </w:r>
            <w:r>
              <w:rPr>
                <w:spacing w:val="-4"/>
                <w:sz w:val="22"/>
              </w:rPr>
              <w:t>配銷與生管模組</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會計資訊系統</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會計資訊系統研討</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商用套裝軟體</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商業簡報製作</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商業文書處理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bottom w:val="nil"/>
            </w:tcBorders>
          </w:tcPr>
          <w:p>
            <w:pPr>
              <w:rPr>
                <w:sz w:val="2"/>
                <w:szCs w:val="2"/>
              </w:rPr>
            </w:pPr>
          </w:p>
        </w:tc>
        <w:tc>
          <w:tcPr>
            <w:tcW w:w="849" w:type="dxa"/>
            <w:vMerge/>
            <w:tcBorders>
              <w:top w:val="nil"/>
              <w:bottom w:val="nil"/>
            </w:tcBorders>
          </w:tcPr>
          <w:p>
            <w:pPr>
              <w:rPr>
                <w:sz w:val="2"/>
                <w:szCs w:val="2"/>
              </w:rPr>
            </w:pPr>
          </w:p>
        </w:tc>
        <w:tc>
          <w:tcPr>
            <w:tcW w:w="852" w:type="dxa"/>
            <w:vMerge/>
            <w:tcBorders>
              <w:top w:val="nil"/>
              <w:bottom w:val="nil"/>
            </w:tcBorders>
          </w:tcPr>
          <w:p>
            <w:pPr>
              <w:rPr>
                <w:sz w:val="2"/>
                <w:szCs w:val="2"/>
              </w:rPr>
            </w:pPr>
          </w:p>
        </w:tc>
        <w:tc>
          <w:tcPr>
            <w:tcW w:w="2126" w:type="dxa"/>
          </w:tcPr>
          <w:p>
            <w:pPr>
              <w:pStyle w:val="TableParagraph"/>
              <w:spacing w:line="270" w:lineRule="exact"/>
              <w:ind w:left="39"/>
              <w:rPr>
                <w:sz w:val="22"/>
              </w:rPr>
            </w:pPr>
            <w:r>
              <w:rPr>
                <w:spacing w:val="-4"/>
                <w:sz w:val="22"/>
              </w:rPr>
              <w:t>財務會計資訊系統</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bl>
    <w:p>
      <w:pPr>
        <w:spacing w:after="0" w:line="241" w:lineRule="exact"/>
        <w:jc w:val="center"/>
        <w:rPr>
          <w:sz w:val="18"/>
        </w:rPr>
        <w:sectPr>
          <w:type w:val="continuous"/>
          <w:pgSz w:w="11900" w:h="16850"/>
          <w:pgMar w:top="880" w:bottom="280" w:left="700" w:right="5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49"/>
        <w:gridCol w:w="852"/>
        <w:gridCol w:w="2126"/>
        <w:gridCol w:w="707"/>
        <w:gridCol w:w="849"/>
        <w:gridCol w:w="2126"/>
        <w:gridCol w:w="1276"/>
      </w:tblGrid>
      <w:tr>
        <w:trPr>
          <w:trHeight w:val="290" w:hRule="atLeast"/>
        </w:trPr>
        <w:tc>
          <w:tcPr>
            <w:tcW w:w="1560" w:type="dxa"/>
            <w:vMerge w:val="restart"/>
            <w:tcBorders>
              <w:top w:val="nil"/>
            </w:tcBorders>
          </w:tcPr>
          <w:p>
            <w:pPr>
              <w:pStyle w:val="TableParagraph"/>
              <w:rPr>
                <w:rFonts w:ascii="Times New Roman"/>
                <w:sz w:val="22"/>
              </w:rPr>
            </w:pPr>
          </w:p>
        </w:tc>
        <w:tc>
          <w:tcPr>
            <w:tcW w:w="849" w:type="dxa"/>
            <w:vMerge w:val="restart"/>
            <w:tcBorders>
              <w:top w:val="nil"/>
            </w:tcBorders>
          </w:tcPr>
          <w:p>
            <w:pPr>
              <w:pStyle w:val="TableParagraph"/>
              <w:rPr>
                <w:rFonts w:ascii="Times New Roman"/>
                <w:sz w:val="22"/>
              </w:rPr>
            </w:pPr>
          </w:p>
        </w:tc>
        <w:tc>
          <w:tcPr>
            <w:tcW w:w="852" w:type="dxa"/>
            <w:vMerge w:val="restart"/>
            <w:tcBorders>
              <w:top w:val="nil"/>
            </w:tcBorders>
          </w:tcPr>
          <w:p>
            <w:pPr>
              <w:pStyle w:val="TableParagraph"/>
              <w:rPr>
                <w:rFonts w:ascii="Times New Roman"/>
                <w:sz w:val="22"/>
              </w:rPr>
            </w:pPr>
          </w:p>
        </w:tc>
        <w:tc>
          <w:tcPr>
            <w:tcW w:w="2126" w:type="dxa"/>
          </w:tcPr>
          <w:p>
            <w:pPr>
              <w:pStyle w:val="TableParagraph"/>
              <w:spacing w:line="270" w:lineRule="exact"/>
              <w:ind w:left="39"/>
              <w:rPr>
                <w:sz w:val="22"/>
              </w:rPr>
            </w:pPr>
            <w:r>
              <w:rPr>
                <w:spacing w:val="-3"/>
                <w:sz w:val="22"/>
              </w:rPr>
              <w:t>電腦審計</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會計大數據分析</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2"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計算機概論</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val="restart"/>
          </w:tcPr>
          <w:p>
            <w:pPr>
              <w:pStyle w:val="TableParagraph"/>
              <w:spacing w:line="279" w:lineRule="exact"/>
              <w:ind w:left="38"/>
              <w:rPr>
                <w:sz w:val="22"/>
              </w:rPr>
            </w:pPr>
            <w:r>
              <w:rPr>
                <w:spacing w:val="-22"/>
                <w:sz w:val="22"/>
              </w:rPr>
              <w:t>職業倫理與態度</w:t>
            </w:r>
          </w:p>
        </w:tc>
        <w:tc>
          <w:tcPr>
            <w:tcW w:w="849" w:type="dxa"/>
            <w:vMerge w:val="restart"/>
          </w:tcPr>
          <w:p>
            <w:pPr>
              <w:pStyle w:val="TableParagraph"/>
              <w:spacing w:line="253" w:lineRule="exact"/>
              <w:ind w:left="31"/>
              <w:jc w:val="center"/>
              <w:rPr>
                <w:rFonts w:ascii="Times New Roman"/>
                <w:sz w:val="24"/>
              </w:rPr>
            </w:pPr>
            <w:r>
              <w:rPr>
                <w:rFonts w:ascii="Times New Roman"/>
                <w:w w:val="85"/>
                <w:sz w:val="24"/>
              </w:rPr>
              <w:t>2</w:t>
            </w:r>
          </w:p>
        </w:tc>
        <w:tc>
          <w:tcPr>
            <w:tcW w:w="852" w:type="dxa"/>
            <w:vMerge w:val="restart"/>
          </w:tcPr>
          <w:p>
            <w:pPr>
              <w:pStyle w:val="TableParagraph"/>
              <w:spacing w:line="253" w:lineRule="exact"/>
              <w:ind w:left="306" w:right="277"/>
              <w:jc w:val="center"/>
              <w:rPr>
                <w:rFonts w:ascii="Times New Roman"/>
                <w:sz w:val="24"/>
              </w:rPr>
            </w:pPr>
            <w:r>
              <w:rPr>
                <w:rFonts w:ascii="Times New Roman"/>
                <w:spacing w:val="-5"/>
                <w:w w:val="95"/>
                <w:sz w:val="24"/>
              </w:rPr>
              <w:t>13</w:t>
            </w:r>
          </w:p>
        </w:tc>
        <w:tc>
          <w:tcPr>
            <w:tcW w:w="2126" w:type="dxa"/>
          </w:tcPr>
          <w:p>
            <w:pPr>
              <w:pStyle w:val="TableParagraph"/>
              <w:spacing w:line="270" w:lineRule="exact"/>
              <w:ind w:left="39"/>
              <w:rPr>
                <w:sz w:val="22"/>
              </w:rPr>
            </w:pPr>
            <w:r>
              <w:rPr>
                <w:spacing w:val="-3"/>
                <w:sz w:val="22"/>
              </w:rPr>
              <w:t>企業倫理</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專業倫理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社會責任與職場倫理</w:t>
            </w:r>
          </w:p>
        </w:tc>
        <w:tc>
          <w:tcPr>
            <w:tcW w:w="707" w:type="dxa"/>
          </w:tcPr>
          <w:p>
            <w:pPr>
              <w:pStyle w:val="TableParagraph"/>
              <w:spacing w:before="5"/>
              <w:ind w:left="28"/>
              <w:jc w:val="center"/>
              <w:rPr>
                <w:rFonts w:ascii="Times New Roman"/>
                <w:sz w:val="22"/>
              </w:rPr>
            </w:pPr>
            <w:r>
              <w:rPr>
                <w:rFonts w:ascii="Times New Roman"/>
                <w:w w:val="84"/>
                <w:sz w:val="22"/>
              </w:rPr>
              <w:t>2</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會計專業倫理</w:t>
            </w:r>
          </w:p>
        </w:tc>
        <w:tc>
          <w:tcPr>
            <w:tcW w:w="707" w:type="dxa"/>
          </w:tcPr>
          <w:p>
            <w:pPr>
              <w:pStyle w:val="TableParagraph"/>
              <w:spacing w:before="5"/>
              <w:ind w:left="28"/>
              <w:jc w:val="center"/>
              <w:rPr>
                <w:rFonts w:ascii="Times New Roman"/>
                <w:sz w:val="22"/>
              </w:rPr>
            </w:pPr>
            <w:r>
              <w:rPr>
                <w:rFonts w:ascii="Times New Roman"/>
                <w:w w:val="84"/>
                <w:sz w:val="22"/>
              </w:rPr>
              <w:t>3</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3"/>
                <w:sz w:val="22"/>
              </w:rPr>
              <w:t>生涯規劃及職場倫理</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資管生涯講座</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r>
        <w:trPr>
          <w:trHeight w:val="290" w:hRule="atLeast"/>
        </w:trPr>
        <w:tc>
          <w:tcPr>
            <w:tcW w:w="1560" w:type="dxa"/>
            <w:vMerge/>
            <w:tcBorders>
              <w:top w:val="nil"/>
            </w:tcBorders>
          </w:tcPr>
          <w:p>
            <w:pPr>
              <w:rPr>
                <w:sz w:val="2"/>
                <w:szCs w:val="2"/>
              </w:rPr>
            </w:pPr>
          </w:p>
        </w:tc>
        <w:tc>
          <w:tcPr>
            <w:tcW w:w="849" w:type="dxa"/>
            <w:vMerge/>
            <w:tcBorders>
              <w:top w:val="nil"/>
            </w:tcBorders>
          </w:tcPr>
          <w:p>
            <w:pPr>
              <w:rPr>
                <w:sz w:val="2"/>
                <w:szCs w:val="2"/>
              </w:rPr>
            </w:pPr>
          </w:p>
        </w:tc>
        <w:tc>
          <w:tcPr>
            <w:tcW w:w="852" w:type="dxa"/>
            <w:vMerge/>
            <w:tcBorders>
              <w:top w:val="nil"/>
            </w:tcBorders>
          </w:tcPr>
          <w:p>
            <w:pPr>
              <w:rPr>
                <w:sz w:val="2"/>
                <w:szCs w:val="2"/>
              </w:rPr>
            </w:pPr>
          </w:p>
        </w:tc>
        <w:tc>
          <w:tcPr>
            <w:tcW w:w="2126" w:type="dxa"/>
          </w:tcPr>
          <w:p>
            <w:pPr>
              <w:pStyle w:val="TableParagraph"/>
              <w:spacing w:line="270" w:lineRule="exact"/>
              <w:ind w:left="39"/>
              <w:rPr>
                <w:sz w:val="22"/>
              </w:rPr>
            </w:pPr>
            <w:r>
              <w:rPr>
                <w:spacing w:val="-4"/>
                <w:sz w:val="22"/>
              </w:rPr>
              <w:t>學術研究倫理</w:t>
            </w:r>
          </w:p>
        </w:tc>
        <w:tc>
          <w:tcPr>
            <w:tcW w:w="707" w:type="dxa"/>
          </w:tcPr>
          <w:p>
            <w:pPr>
              <w:pStyle w:val="TableParagraph"/>
              <w:spacing w:before="5"/>
              <w:ind w:left="28"/>
              <w:jc w:val="center"/>
              <w:rPr>
                <w:rFonts w:ascii="Times New Roman"/>
                <w:sz w:val="22"/>
              </w:rPr>
            </w:pPr>
            <w:r>
              <w:rPr>
                <w:rFonts w:ascii="Times New Roman"/>
                <w:w w:val="84"/>
                <w:sz w:val="22"/>
              </w:rPr>
              <w:t>1</w:t>
            </w:r>
          </w:p>
        </w:tc>
        <w:tc>
          <w:tcPr>
            <w:tcW w:w="849" w:type="dxa"/>
          </w:tcPr>
          <w:p>
            <w:pPr>
              <w:pStyle w:val="TableParagraph"/>
              <w:spacing w:line="270" w:lineRule="exact"/>
              <w:ind w:right="159"/>
              <w:jc w:val="right"/>
              <w:rPr>
                <w:sz w:val="22"/>
              </w:rPr>
            </w:pPr>
            <w:r>
              <w:rPr>
                <w:spacing w:val="-5"/>
                <w:sz w:val="22"/>
              </w:rPr>
              <w:t>選修</w:t>
            </w:r>
          </w:p>
        </w:tc>
        <w:tc>
          <w:tcPr>
            <w:tcW w:w="2126" w:type="dxa"/>
          </w:tcPr>
          <w:p>
            <w:pPr>
              <w:pStyle w:val="TableParagraph"/>
              <w:rPr>
                <w:rFonts w:ascii="Times New Roman"/>
                <w:sz w:val="20"/>
              </w:rPr>
            </w:pPr>
          </w:p>
        </w:tc>
        <w:tc>
          <w:tcPr>
            <w:tcW w:w="1276" w:type="dxa"/>
          </w:tcPr>
          <w:p>
            <w:pPr>
              <w:pStyle w:val="TableParagraph"/>
              <w:tabs>
                <w:tab w:pos="832" w:val="left" w:leader="none"/>
              </w:tabs>
              <w:spacing w:line="241" w:lineRule="exact" w:before="28"/>
              <w:ind w:left="20"/>
              <w:jc w:val="center"/>
              <w:rPr>
                <w:sz w:val="18"/>
              </w:rPr>
            </w:pPr>
            <w:r>
              <w:rPr>
                <w:sz w:val="18"/>
              </w:rPr>
              <w:t>採</w:t>
            </w:r>
            <w:r>
              <w:rPr>
                <w:spacing w:val="-10"/>
                <w:sz w:val="18"/>
              </w:rPr>
              <w:t>認</w:t>
            </w:r>
            <w:r>
              <w:rPr>
                <w:rFonts w:ascii="Times New Roman" w:eastAsia="Times New Roman"/>
                <w:sz w:val="18"/>
                <w:u w:val="single"/>
              </w:rPr>
              <w:tab/>
            </w:r>
            <w:r>
              <w:rPr>
                <w:sz w:val="18"/>
              </w:rPr>
              <w:t>學</w:t>
            </w:r>
            <w:r>
              <w:rPr>
                <w:spacing w:val="-10"/>
                <w:sz w:val="18"/>
              </w:rPr>
              <w:t>分</w:t>
            </w:r>
          </w:p>
        </w:tc>
      </w:tr>
    </w:tbl>
    <w:p>
      <w:pPr>
        <w:pStyle w:val="BodyText"/>
        <w:spacing w:before="1"/>
        <w:rPr>
          <w:sz w:val="15"/>
        </w:rPr>
      </w:pPr>
    </w:p>
    <w:p>
      <w:pPr>
        <w:spacing w:before="29"/>
        <w:ind w:left="286" w:right="0" w:firstLine="0"/>
        <w:jc w:val="left"/>
        <w:rPr>
          <w:sz w:val="36"/>
        </w:rPr>
      </w:pPr>
      <w:r>
        <w:rPr>
          <w:spacing w:val="-12"/>
          <w:sz w:val="36"/>
        </w:rPr>
        <w:t>其他課程設計相關說明</w:t>
      </w:r>
    </w:p>
    <w:p>
      <w:pPr>
        <w:pStyle w:val="ListParagraph"/>
        <w:numPr>
          <w:ilvl w:val="0"/>
          <w:numId w:val="1"/>
        </w:numPr>
        <w:tabs>
          <w:tab w:pos="446" w:val="left" w:leader="none"/>
        </w:tabs>
        <w:spacing w:line="240" w:lineRule="auto" w:before="83" w:after="0"/>
        <w:ind w:left="445" w:right="0" w:hanging="160"/>
        <w:jc w:val="left"/>
        <w:rPr>
          <w:sz w:val="22"/>
        </w:rPr>
      </w:pPr>
      <w:r>
        <w:rPr>
          <w:spacing w:val="-14"/>
          <w:sz w:val="22"/>
        </w:rPr>
        <w:t>師資培育之大學規劃科目須依據「十二年國民基本教育課程綱要」內涵訂定。</w:t>
      </w:r>
    </w:p>
    <w:p>
      <w:pPr>
        <w:pStyle w:val="ListParagraph"/>
        <w:numPr>
          <w:ilvl w:val="0"/>
          <w:numId w:val="1"/>
        </w:numPr>
        <w:tabs>
          <w:tab w:pos="446" w:val="left" w:leader="none"/>
        </w:tabs>
        <w:spacing w:line="259" w:lineRule="auto" w:before="26" w:after="0"/>
        <w:ind w:left="450" w:right="173" w:hanging="164"/>
        <w:jc w:val="left"/>
        <w:rPr>
          <w:sz w:val="22"/>
        </w:rPr>
      </w:pPr>
      <w:r>
        <w:rPr>
          <w:spacing w:val="-12"/>
          <w:sz w:val="22"/>
        </w:rPr>
        <w:t>本表要求應修畢最低總學分數</w:t>
      </w:r>
      <w:r>
        <w:rPr>
          <w:rFonts w:ascii="Times New Roman" w:eastAsia="Times New Roman"/>
          <w:spacing w:val="-12"/>
          <w:sz w:val="22"/>
        </w:rPr>
        <w:t>38</w:t>
      </w:r>
      <w:r>
        <w:rPr>
          <w:rFonts w:ascii="Times New Roman" w:eastAsia="Times New Roman"/>
          <w:spacing w:val="-7"/>
          <w:sz w:val="22"/>
        </w:rPr>
        <w:t> </w:t>
      </w:r>
      <w:r>
        <w:rPr>
          <w:spacing w:val="-12"/>
          <w:sz w:val="22"/>
        </w:rPr>
        <w:t>學分，主修群及群加專長課程之最低學分數請依照各課程類別最低學分數規定</w:t>
      </w:r>
      <w:r>
        <w:rPr>
          <w:spacing w:val="-2"/>
          <w:sz w:val="22"/>
        </w:rPr>
        <w:t>進行規劃。</w:t>
      </w:r>
    </w:p>
    <w:p>
      <w:pPr>
        <w:pStyle w:val="ListParagraph"/>
        <w:numPr>
          <w:ilvl w:val="0"/>
          <w:numId w:val="1"/>
        </w:numPr>
        <w:tabs>
          <w:tab w:pos="446" w:val="left" w:leader="none"/>
        </w:tabs>
        <w:spacing w:line="306" w:lineRule="exact" w:before="0" w:after="0"/>
        <w:ind w:left="445" w:right="0" w:hanging="160"/>
        <w:jc w:val="left"/>
        <w:rPr>
          <w:sz w:val="22"/>
        </w:rPr>
      </w:pPr>
      <w:r>
        <w:rPr>
          <w:spacing w:val="-14"/>
          <w:sz w:val="22"/>
        </w:rPr>
        <w:t>「資訊應用能力」類課程係屬跨資管專長類課程。</w:t>
      </w:r>
    </w:p>
    <w:p>
      <w:pPr>
        <w:pStyle w:val="ListParagraph"/>
        <w:numPr>
          <w:ilvl w:val="0"/>
          <w:numId w:val="1"/>
        </w:numPr>
        <w:tabs>
          <w:tab w:pos="446" w:val="left" w:leader="none"/>
        </w:tabs>
        <w:spacing w:line="240" w:lineRule="auto" w:before="22" w:after="0"/>
        <w:ind w:left="445" w:right="0" w:hanging="160"/>
        <w:jc w:val="left"/>
        <w:rPr>
          <w:sz w:val="22"/>
        </w:rPr>
      </w:pPr>
      <w:r>
        <w:rPr>
          <w:spacing w:val="-28"/>
          <w:sz w:val="22"/>
        </w:rPr>
        <w:t>若持勞動部「會計事務－資訊」技術士技能檢定證照乙級</w:t>
      </w:r>
      <w:r>
        <w:rPr>
          <w:spacing w:val="-16"/>
          <w:sz w:val="22"/>
        </w:rPr>
        <w:t>（含</w:t>
      </w:r>
      <w:r>
        <w:rPr>
          <w:spacing w:val="-61"/>
          <w:sz w:val="22"/>
        </w:rPr>
        <w:t>）</w:t>
      </w:r>
      <w:r>
        <w:rPr>
          <w:spacing w:val="-25"/>
          <w:sz w:val="22"/>
        </w:rPr>
        <w:t>以上者，可採計為「財務金融能力」中一門科目。</w:t>
      </w:r>
    </w:p>
    <w:p>
      <w:pPr>
        <w:pStyle w:val="ListParagraph"/>
        <w:numPr>
          <w:ilvl w:val="0"/>
          <w:numId w:val="1"/>
        </w:numPr>
        <w:tabs>
          <w:tab w:pos="446" w:val="left" w:leader="none"/>
        </w:tabs>
        <w:spacing w:line="259" w:lineRule="auto" w:before="21" w:after="0"/>
        <w:ind w:left="450" w:right="170" w:hanging="164"/>
        <w:jc w:val="left"/>
        <w:rPr>
          <w:sz w:val="22"/>
        </w:rPr>
      </w:pPr>
      <w:r>
        <w:rPr>
          <w:spacing w:val="-16"/>
          <w:sz w:val="22"/>
        </w:rPr>
        <w:t>若持勞動部「會計事務－人工記帳」技術士技能檢定證照乙級（含）以上者，可採計為「財務金融能力」中一門</w:t>
      </w:r>
      <w:r>
        <w:rPr>
          <w:spacing w:val="-2"/>
          <w:sz w:val="22"/>
        </w:rPr>
        <w:t>科目或「產業創新能力」中一門科目。</w:t>
      </w:r>
    </w:p>
    <w:p>
      <w:pPr>
        <w:pStyle w:val="ListParagraph"/>
        <w:numPr>
          <w:ilvl w:val="0"/>
          <w:numId w:val="1"/>
        </w:numPr>
        <w:tabs>
          <w:tab w:pos="446" w:val="left" w:leader="none"/>
        </w:tabs>
        <w:spacing w:line="303" w:lineRule="exact" w:before="0" w:after="0"/>
        <w:ind w:left="445" w:right="0" w:hanging="160"/>
        <w:jc w:val="left"/>
        <w:rPr>
          <w:sz w:val="22"/>
        </w:rPr>
      </w:pPr>
      <w:r>
        <w:rPr>
          <w:spacing w:val="-14"/>
          <w:sz w:val="22"/>
        </w:rPr>
        <w:t>若持勞動部「國貿業務」技術士技能檢定證照乙級（含）以上者，可採計為「國際移動能力」中一門科目。</w:t>
      </w:r>
    </w:p>
    <w:p>
      <w:pPr>
        <w:pStyle w:val="ListParagraph"/>
        <w:numPr>
          <w:ilvl w:val="0"/>
          <w:numId w:val="1"/>
        </w:numPr>
        <w:tabs>
          <w:tab w:pos="446" w:val="left" w:leader="none"/>
        </w:tabs>
        <w:spacing w:line="240" w:lineRule="auto" w:before="23" w:after="0"/>
        <w:ind w:left="445" w:right="0" w:hanging="160"/>
        <w:jc w:val="left"/>
        <w:rPr>
          <w:sz w:val="22"/>
        </w:rPr>
      </w:pPr>
      <w:r>
        <w:rPr>
          <w:spacing w:val="-14"/>
          <w:sz w:val="22"/>
        </w:rPr>
        <w:t>若持勞動部「門市服務」技術士技能檢定證照乙級（含）以上者，可採計為「組織經營能力」中一門科目。</w:t>
      </w:r>
    </w:p>
    <w:p>
      <w:pPr>
        <w:pStyle w:val="ListParagraph"/>
        <w:numPr>
          <w:ilvl w:val="0"/>
          <w:numId w:val="1"/>
        </w:numPr>
        <w:tabs>
          <w:tab w:pos="446" w:val="left" w:leader="none"/>
        </w:tabs>
        <w:spacing w:line="256" w:lineRule="auto" w:before="22" w:after="0"/>
        <w:ind w:left="450" w:right="171" w:hanging="164"/>
        <w:jc w:val="both"/>
        <w:rPr>
          <w:sz w:val="22"/>
        </w:rPr>
      </w:pPr>
      <w:r>
        <w:rPr>
          <w:spacing w:val="-10"/>
          <w:sz w:val="22"/>
        </w:rPr>
        <w:t>依「技術及職業教育法」第</w:t>
      </w:r>
      <w:r>
        <w:rPr>
          <w:rFonts w:ascii="Times New Roman" w:eastAsia="Times New Roman"/>
          <w:spacing w:val="-10"/>
          <w:sz w:val="22"/>
        </w:rPr>
        <w:t>24</w:t>
      </w:r>
      <w:r>
        <w:rPr>
          <w:rFonts w:ascii="Times New Roman" w:eastAsia="Times New Roman"/>
          <w:sz w:val="22"/>
        </w:rPr>
        <w:t> </w:t>
      </w:r>
      <w:r>
        <w:rPr>
          <w:spacing w:val="-10"/>
          <w:sz w:val="22"/>
        </w:rPr>
        <w:t>條第</w:t>
      </w:r>
      <w:r>
        <w:rPr>
          <w:rFonts w:ascii="Times New Roman" w:eastAsia="Times New Roman"/>
          <w:spacing w:val="-10"/>
          <w:sz w:val="22"/>
        </w:rPr>
        <w:t>2</w:t>
      </w:r>
      <w:r>
        <w:rPr>
          <w:rFonts w:ascii="Times New Roman" w:eastAsia="Times New Roman"/>
          <w:sz w:val="22"/>
        </w:rPr>
        <w:t> </w:t>
      </w:r>
      <w:r>
        <w:rPr>
          <w:spacing w:val="-10"/>
          <w:sz w:val="22"/>
        </w:rPr>
        <w:t>項規定，高級中等學校職業群科師資職前教育課程應包括</w:t>
      </w:r>
      <w:r>
        <w:rPr>
          <w:rFonts w:ascii="Times New Roman" w:eastAsia="Times New Roman"/>
          <w:spacing w:val="-10"/>
          <w:sz w:val="22"/>
        </w:rPr>
        <w:t>18</w:t>
      </w:r>
      <w:r>
        <w:rPr>
          <w:rFonts w:ascii="Times New Roman" w:eastAsia="Times New Roman"/>
          <w:sz w:val="22"/>
        </w:rPr>
        <w:t> </w:t>
      </w:r>
      <w:r>
        <w:rPr>
          <w:spacing w:val="-10"/>
          <w:sz w:val="22"/>
        </w:rPr>
        <w:t>小時 之業界</w:t>
      </w:r>
      <w:r>
        <w:rPr>
          <w:spacing w:val="-13"/>
          <w:sz w:val="22"/>
        </w:rPr>
        <w:t>實習。自 </w:t>
      </w:r>
      <w:r>
        <w:rPr>
          <w:rFonts w:ascii="Times New Roman" w:eastAsia="Times New Roman"/>
          <w:spacing w:val="-12"/>
          <w:sz w:val="22"/>
        </w:rPr>
        <w:t>105</w:t>
      </w:r>
      <w:r>
        <w:rPr>
          <w:rFonts w:ascii="Times New Roman" w:eastAsia="Times New Roman"/>
          <w:spacing w:val="7"/>
          <w:sz w:val="22"/>
        </w:rPr>
        <w:t> </w:t>
      </w:r>
      <w:r>
        <w:rPr>
          <w:spacing w:val="-12"/>
          <w:sz w:val="22"/>
        </w:rPr>
        <w:t>學年度起修習本表專門課程之師資生，除了本表規定各課程類別之最低學分數外，須取得業界實</w:t>
      </w:r>
      <w:r>
        <w:rPr>
          <w:spacing w:val="-8"/>
          <w:sz w:val="22"/>
        </w:rPr>
        <w:t>習機構實習（含參訪學習、體驗、實作、見實）</w:t>
      </w:r>
      <w:r>
        <w:rPr>
          <w:rFonts w:ascii="Times New Roman" w:eastAsia="Times New Roman"/>
          <w:spacing w:val="-8"/>
          <w:sz w:val="22"/>
        </w:rPr>
        <w:t>18</w:t>
      </w:r>
      <w:r>
        <w:rPr>
          <w:rFonts w:ascii="Times New Roman" w:eastAsia="Times New Roman"/>
          <w:spacing w:val="-1"/>
          <w:sz w:val="22"/>
        </w:rPr>
        <w:t> </w:t>
      </w:r>
      <w:r>
        <w:rPr>
          <w:spacing w:val="-8"/>
          <w:sz w:val="22"/>
        </w:rPr>
        <w:t>小時以上（含）</w:t>
      </w:r>
      <w:r>
        <w:rPr>
          <w:spacing w:val="-9"/>
          <w:sz w:val="22"/>
        </w:rPr>
        <w:t>，並檢附相關證明供 審查。</w:t>
      </w:r>
    </w:p>
    <w:p>
      <w:pPr>
        <w:pStyle w:val="ListParagraph"/>
        <w:numPr>
          <w:ilvl w:val="0"/>
          <w:numId w:val="1"/>
        </w:numPr>
        <w:tabs>
          <w:tab w:pos="446" w:val="left" w:leader="none"/>
        </w:tabs>
        <w:spacing w:line="240" w:lineRule="auto" w:before="3" w:after="0"/>
        <w:ind w:left="445" w:right="0" w:hanging="160"/>
        <w:jc w:val="left"/>
        <w:rPr>
          <w:sz w:val="22"/>
        </w:rPr>
      </w:pPr>
      <w:r>
        <w:rPr>
          <w:spacing w:val="-10"/>
          <w:sz w:val="22"/>
        </w:rPr>
        <w:t>「組織經營能力」至少修習</w:t>
      </w:r>
      <w:r>
        <w:rPr>
          <w:rFonts w:ascii="Times New Roman" w:eastAsia="Times New Roman"/>
          <w:spacing w:val="-10"/>
          <w:sz w:val="22"/>
        </w:rPr>
        <w:t>10</w:t>
      </w:r>
      <w:r>
        <w:rPr>
          <w:rFonts w:ascii="Times New Roman" w:eastAsia="Times New Roman"/>
          <w:spacing w:val="15"/>
          <w:sz w:val="22"/>
        </w:rPr>
        <w:t> </w:t>
      </w:r>
      <w:r>
        <w:rPr>
          <w:spacing w:val="-10"/>
          <w:sz w:val="22"/>
        </w:rPr>
        <w:t>學分。</w:t>
      </w:r>
    </w:p>
    <w:p>
      <w:pPr>
        <w:pStyle w:val="BodyText"/>
        <w:spacing w:before="22"/>
        <w:ind w:left="286"/>
      </w:pPr>
      <w:r>
        <w:rPr>
          <w:spacing w:val="-10"/>
        </w:rPr>
        <w:t>「財務金融能力」至少修習</w:t>
      </w:r>
      <w:r>
        <w:rPr>
          <w:rFonts w:ascii="Times New Roman" w:eastAsia="Times New Roman"/>
          <w:spacing w:val="-10"/>
        </w:rPr>
        <w:t>8</w:t>
      </w:r>
      <w:r>
        <w:rPr>
          <w:rFonts w:ascii="Times New Roman" w:eastAsia="Times New Roman"/>
          <w:spacing w:val="7"/>
        </w:rPr>
        <w:t> </w:t>
      </w:r>
      <w:r>
        <w:rPr>
          <w:spacing w:val="-10"/>
        </w:rPr>
        <w:t>學分。</w:t>
      </w:r>
    </w:p>
    <w:p>
      <w:pPr>
        <w:pStyle w:val="BodyText"/>
        <w:spacing w:before="23"/>
        <w:ind w:left="286"/>
      </w:pPr>
      <w:r>
        <w:rPr>
          <w:spacing w:val="-10"/>
        </w:rPr>
        <w:t>「國際移動能力」至少修習</w:t>
      </w:r>
      <w:r>
        <w:rPr>
          <w:rFonts w:ascii="Times New Roman" w:eastAsia="Times New Roman"/>
          <w:spacing w:val="-10"/>
        </w:rPr>
        <w:t>6</w:t>
      </w:r>
      <w:r>
        <w:rPr>
          <w:rFonts w:ascii="Times New Roman" w:eastAsia="Times New Roman"/>
          <w:spacing w:val="7"/>
        </w:rPr>
        <w:t> </w:t>
      </w:r>
      <w:r>
        <w:rPr>
          <w:spacing w:val="-10"/>
        </w:rPr>
        <w:t>學分。</w:t>
      </w:r>
    </w:p>
    <w:p>
      <w:pPr>
        <w:pStyle w:val="BodyText"/>
        <w:spacing w:before="21"/>
        <w:ind w:left="286"/>
      </w:pPr>
      <w:r>
        <w:rPr>
          <w:spacing w:val="-10"/>
        </w:rPr>
        <w:t>「產業創新能力」至少修習</w:t>
      </w:r>
      <w:r>
        <w:rPr>
          <w:rFonts w:ascii="Times New Roman" w:eastAsia="Times New Roman"/>
          <w:spacing w:val="-10"/>
        </w:rPr>
        <w:t>6</w:t>
      </w:r>
      <w:r>
        <w:rPr>
          <w:rFonts w:ascii="Times New Roman" w:eastAsia="Times New Roman"/>
          <w:spacing w:val="7"/>
        </w:rPr>
        <w:t> </w:t>
      </w:r>
      <w:r>
        <w:rPr>
          <w:spacing w:val="-10"/>
        </w:rPr>
        <w:t>學分。</w:t>
      </w:r>
    </w:p>
    <w:p>
      <w:pPr>
        <w:pStyle w:val="BodyText"/>
        <w:spacing w:before="24"/>
        <w:ind w:left="286"/>
      </w:pPr>
      <w:r>
        <w:rPr>
          <w:spacing w:val="-10"/>
        </w:rPr>
        <w:t>「資訊應用能力」至少修習</w:t>
      </w:r>
      <w:r>
        <w:rPr>
          <w:rFonts w:ascii="Times New Roman" w:eastAsia="Times New Roman"/>
          <w:spacing w:val="-10"/>
        </w:rPr>
        <w:t>6</w:t>
      </w:r>
      <w:r>
        <w:rPr>
          <w:rFonts w:ascii="Times New Roman" w:eastAsia="Times New Roman"/>
          <w:spacing w:val="7"/>
        </w:rPr>
        <w:t> </w:t>
      </w:r>
      <w:r>
        <w:rPr>
          <w:spacing w:val="-10"/>
        </w:rPr>
        <w:t>學分。</w:t>
      </w:r>
    </w:p>
    <w:p>
      <w:pPr>
        <w:pStyle w:val="BodyText"/>
        <w:spacing w:before="21"/>
        <w:ind w:left="286"/>
      </w:pPr>
      <w:r>
        <w:rPr>
          <w:spacing w:val="-10"/>
        </w:rPr>
        <w:t>「職業倫理與態度」至少修習</w:t>
      </w:r>
      <w:r>
        <w:rPr>
          <w:rFonts w:ascii="Times New Roman" w:eastAsia="Times New Roman"/>
          <w:spacing w:val="-10"/>
        </w:rPr>
        <w:t>2</w:t>
      </w:r>
      <w:r>
        <w:rPr>
          <w:rFonts w:ascii="Times New Roman" w:eastAsia="Times New Roman"/>
          <w:spacing w:val="5"/>
        </w:rPr>
        <w:t> </w:t>
      </w:r>
      <w:r>
        <w:rPr>
          <w:spacing w:val="-10"/>
        </w:rPr>
        <w:t>學分。</w:t>
      </w:r>
    </w:p>
    <w:p>
      <w:pPr>
        <w:spacing w:after="0"/>
        <w:sectPr>
          <w:type w:val="continuous"/>
          <w:pgSz w:w="11900" w:h="16850"/>
          <w:pgMar w:top="880" w:bottom="280" w:left="700" w:right="520"/>
        </w:sectPr>
      </w:pPr>
    </w:p>
    <w:p>
      <w:pPr>
        <w:pStyle w:val="BodyText"/>
        <w:spacing w:before="4"/>
        <w:rPr>
          <w:sz w:val="14"/>
        </w:rPr>
      </w:pPr>
    </w:p>
    <w:sectPr>
      <w:pgSz w:w="11910" w:h="16840"/>
      <w:pgMar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5" w:hanging="160"/>
        <w:jc w:val="left"/>
      </w:pPr>
      <w:rPr>
        <w:rFonts w:hint="default" w:ascii="Times New Roman" w:hAnsi="Times New Roman" w:eastAsia="Times New Roman" w:cs="Times New Roman"/>
        <w:b w:val="0"/>
        <w:bCs w:val="0"/>
        <w:i w:val="0"/>
        <w:iCs w:val="0"/>
        <w:spacing w:val="-8"/>
        <w:w w:val="100"/>
        <w:sz w:val="20"/>
        <w:szCs w:val="20"/>
        <w:lang w:val="en-US" w:eastAsia="zh-TW" w:bidi="ar-SA"/>
      </w:rPr>
    </w:lvl>
    <w:lvl w:ilvl="1">
      <w:start w:val="0"/>
      <w:numFmt w:val="bullet"/>
      <w:lvlText w:val="•"/>
      <w:lvlJc w:val="left"/>
      <w:pPr>
        <w:ind w:left="1463" w:hanging="160"/>
      </w:pPr>
      <w:rPr>
        <w:rFonts w:hint="default"/>
        <w:lang w:val="en-US" w:eastAsia="zh-TW" w:bidi="ar-SA"/>
      </w:rPr>
    </w:lvl>
    <w:lvl w:ilvl="2">
      <w:start w:val="0"/>
      <w:numFmt w:val="bullet"/>
      <w:lvlText w:val="•"/>
      <w:lvlJc w:val="left"/>
      <w:pPr>
        <w:ind w:left="2487" w:hanging="160"/>
      </w:pPr>
      <w:rPr>
        <w:rFonts w:hint="default"/>
        <w:lang w:val="en-US" w:eastAsia="zh-TW" w:bidi="ar-SA"/>
      </w:rPr>
    </w:lvl>
    <w:lvl w:ilvl="3">
      <w:start w:val="0"/>
      <w:numFmt w:val="bullet"/>
      <w:lvlText w:val="•"/>
      <w:lvlJc w:val="left"/>
      <w:pPr>
        <w:ind w:left="3511" w:hanging="160"/>
      </w:pPr>
      <w:rPr>
        <w:rFonts w:hint="default"/>
        <w:lang w:val="en-US" w:eastAsia="zh-TW" w:bidi="ar-SA"/>
      </w:rPr>
    </w:lvl>
    <w:lvl w:ilvl="4">
      <w:start w:val="0"/>
      <w:numFmt w:val="bullet"/>
      <w:lvlText w:val="•"/>
      <w:lvlJc w:val="left"/>
      <w:pPr>
        <w:ind w:left="4535" w:hanging="160"/>
      </w:pPr>
      <w:rPr>
        <w:rFonts w:hint="default"/>
        <w:lang w:val="en-US" w:eastAsia="zh-TW" w:bidi="ar-SA"/>
      </w:rPr>
    </w:lvl>
    <w:lvl w:ilvl="5">
      <w:start w:val="0"/>
      <w:numFmt w:val="bullet"/>
      <w:lvlText w:val="•"/>
      <w:lvlJc w:val="left"/>
      <w:pPr>
        <w:ind w:left="5559" w:hanging="160"/>
      </w:pPr>
      <w:rPr>
        <w:rFonts w:hint="default"/>
        <w:lang w:val="en-US" w:eastAsia="zh-TW" w:bidi="ar-SA"/>
      </w:rPr>
    </w:lvl>
    <w:lvl w:ilvl="6">
      <w:start w:val="0"/>
      <w:numFmt w:val="bullet"/>
      <w:lvlText w:val="•"/>
      <w:lvlJc w:val="left"/>
      <w:pPr>
        <w:ind w:left="6583" w:hanging="160"/>
      </w:pPr>
      <w:rPr>
        <w:rFonts w:hint="default"/>
        <w:lang w:val="en-US" w:eastAsia="zh-TW" w:bidi="ar-SA"/>
      </w:rPr>
    </w:lvl>
    <w:lvl w:ilvl="7">
      <w:start w:val="0"/>
      <w:numFmt w:val="bullet"/>
      <w:lvlText w:val="•"/>
      <w:lvlJc w:val="left"/>
      <w:pPr>
        <w:ind w:left="7607" w:hanging="160"/>
      </w:pPr>
      <w:rPr>
        <w:rFonts w:hint="default"/>
        <w:lang w:val="en-US" w:eastAsia="zh-TW" w:bidi="ar-SA"/>
      </w:rPr>
    </w:lvl>
    <w:lvl w:ilvl="8">
      <w:start w:val="0"/>
      <w:numFmt w:val="bullet"/>
      <w:lvlText w:val="•"/>
      <w:lvlJc w:val="left"/>
      <w:pPr>
        <w:ind w:left="8631" w:hanging="160"/>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2"/>
      <w:szCs w:val="22"/>
      <w:lang w:val="en-US" w:eastAsia="zh-TW" w:bidi="ar-SA"/>
    </w:rPr>
  </w:style>
  <w:style w:styleId="ListParagraph" w:type="paragraph">
    <w:name w:val="List Paragraph"/>
    <w:basedOn w:val="Normal"/>
    <w:uiPriority w:val="1"/>
    <w:qFormat/>
    <w:pPr>
      <w:ind w:left="445" w:hanging="160"/>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管理學院謝宓娟</dc:creator>
  <dcterms:created xsi:type="dcterms:W3CDTF">2022-08-22T05:36:35Z</dcterms:created>
  <dcterms:modified xsi:type="dcterms:W3CDTF">2022-08-22T05:36:35Z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2019</vt:lpwstr>
  </property>
  <property fmtid="{D5CDD505-2E9C-101B-9397-08002B2CF9AE}" pid="4" name="LastSaved">
    <vt:filetime>2022-08-22T00:00:00Z</vt:filetime>
  </property>
  <property fmtid="{D5CDD505-2E9C-101B-9397-08002B2CF9AE}" pid="5" name="Producer">
    <vt:lpwstr>Microsoft® Word 2019</vt:lpwstr>
  </property>
</Properties>
</file>